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Montserrat" w:hAnsi="Montserrat" w:eastAsia="Montserrat" w:cs="Montserrat"/>
          <w:b/>
          <w:color w:val="9900ff"/>
          <w:sz w:val="26"/>
          <w:szCs w:val="26"/>
        </w:rPr>
      </w:pPr>
      <w:r>
        <w:rPr>
          <w:rFonts w:ascii="Montserrat" w:hAnsi="Montserrat" w:eastAsia="Montserrat" w:cs="Montserrat"/>
          <w:b/>
          <w:color w:val="9900ff"/>
          <w:sz w:val="26"/>
          <w:szCs w:val="26"/>
          <w:rtl w:val="0"/>
        </w:rPr>
        <w:t xml:space="preserve">Тестовое задание для стажеров</w:t>
      </w:r>
      <w:r>
        <w:rPr>
          <w:rFonts w:ascii="Montserrat" w:hAnsi="Montserrat" w:eastAsia="Montserrat" w:cs="Montserrat"/>
          <w:b/>
          <w:color w:val="9900ff"/>
          <w:sz w:val="26"/>
          <w:szCs w:val="26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 xml:space="preserve">Отчет по исследованию: «Покупательские привычки и поведение покупателей Wildberries»</w:t>
      </w:r>
      <w:r>
        <w:rPr>
          <w:rFonts w:ascii="Montserrat" w:hAnsi="Montserrat" w:eastAsia="Montserrat" w:cs="Montserrat"/>
          <w:sz w:val="20"/>
          <w:szCs w:val="20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p>
      <w:pPr>
        <w:rPr>
          <w:rFonts w:ascii="Montserrat" w:hAnsi="Montserrat" w:eastAsia="Montserrat" w:cs="Montserrat"/>
          <w:sz w:val="20"/>
          <w:szCs w:val="20"/>
          <w:u w:val="single"/>
        </w:rPr>
      </w:pPr>
      <w:r>
        <w:rPr>
          <w:rFonts w:ascii="Montserrat" w:hAnsi="Montserrat" w:eastAsia="Montserrat" w:cs="Montserrat"/>
          <w:sz w:val="20"/>
          <w:szCs w:val="20"/>
          <w:u w:val="single"/>
          <w:rtl w:val="0"/>
        </w:rPr>
        <w:t xml:space="preserve">Основная информация:</w:t>
      </w:r>
      <w:r>
        <w:rPr>
          <w:rFonts w:ascii="Montserrat" w:hAnsi="Montserrat" w:eastAsia="Montserrat" w:cs="Montserrat"/>
          <w:sz w:val="20"/>
          <w:szCs w:val="20"/>
          <w:u w:val="single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tbl>
      <w:tblPr>
        <w:tblStyle w:val="640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Аудитория, кто проходил опрос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Активные покупатели Wildberries, совершившие покупки за последний месяц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Данные по ссылке 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hyperlink r:id="rId9" w:tooltip="https://docs.google.com/spreadsheets/d/1grvTs6OTIbz0NnmIN74XNHRmNXssq_GOGp4j8OKCQIY/edit?usp=sharing" w:history="1">
              <w:r>
                <w:rPr>
                  <w:rFonts w:ascii="Montserrat" w:hAnsi="Montserrat" w:eastAsia="Montserrat" w:cs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Данные для анализа «Покупательские привычки и поведение покупателей Wildberries»</w:t>
              </w:r>
            </w:hyperlink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 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Структура файла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15 вопросов, 3 типа ответов: 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 одиночный выбор (9)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 множественный выбор (5)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 открытый текст (1)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Цели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Зафиксировать покупательские паттерны и особенности покупательского поведения.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Понять, как часто и где покупают: онлайн или офлайн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Определить, какие онлайн площадки используют, какие товары покупают онлайн.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Оценить удовлетворенность онлайн-опытом, выявить проблемы, с которыми сталкиваются покупатели.</w:t>
            </w:r>
            <w:r>
              <w:rPr>
                <w:rFonts w:ascii="Montserrat" w:hAnsi="Montserrat" w:eastAsia="Montserrat" w:cs="Montserrat"/>
                <w:sz w:val="20"/>
                <w:szCs w:val="20"/>
                <w:u w:val="none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Задачи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Опишите аудиторию (пол, возраст, частота покупок).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Проанализируйте полученные данные.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Проанализируйте открытый вопрос «Каких сервисов/функций не хватает?».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ind w:left="425" w:right="0" w:hanging="36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left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 xml:space="preserve">Формат отчета</w:t>
            </w:r>
            <w:r>
              <w:rPr>
                <w:rFonts w:ascii="Montserrat" w:hAnsi="Montserrat" w:eastAsia="Montserrat" w:cs="Montserrat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Вводный слайд: название исследования, цель, дата, автор.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Методология: кого опрашивали, объем выборки, период полевых работ, структура анкеты.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Основные выводы по результатам всего опроса.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Детализация результатов (анализ): графики или таблицы (по собственному усмотрению)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Профиль респондентов</w:t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  <w:p>
            <w:pPr>
              <w:ind w:left="425" w:hanging="360"/>
              <w:spacing w:line="240" w:lineRule="auto"/>
              <w:widowControl w:val="off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Montserrat" w:hAnsi="Montserrat" w:eastAsia="Montserrat" w:cs="Montserrat"/>
                <w:sz w:val="20"/>
                <w:szCs w:val="20"/>
              </w:rPr>
            </w:r>
          </w:p>
        </w:tc>
      </w:tr>
    </w:tbl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p>
      <w:pPr>
        <w:rPr>
          <w:rFonts w:ascii="Montserrat" w:hAnsi="Montserrat" w:eastAsia="Montserrat" w:cs="Montserrat"/>
          <w:sz w:val="20"/>
          <w:szCs w:val="20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0"/>
          <w:szCs w:val="2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3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3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3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3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0"/>
    <w:next w:val="63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0"/>
    <w:next w:val="63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0"/>
    <w:next w:val="63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0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8"/>
    <w:uiPriority w:val="10"/>
    <w:rPr>
      <w:sz w:val="48"/>
      <w:szCs w:val="48"/>
    </w:rPr>
  </w:style>
  <w:style w:type="character" w:styleId="37">
    <w:name w:val="Subtitle Char"/>
    <w:basedOn w:val="11"/>
    <w:link w:val="639"/>
    <w:uiPriority w:val="11"/>
    <w:rPr>
      <w:sz w:val="24"/>
      <w:szCs w:val="24"/>
    </w:rPr>
  </w:style>
  <w:style w:type="paragraph" w:styleId="38">
    <w:name w:val="Quote"/>
    <w:basedOn w:val="630"/>
    <w:next w:val="63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0"/>
    <w:next w:val="63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3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30"/>
    <w:next w:val="6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3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30"/>
    <w:next w:val="63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0"/>
    <w:next w:val="63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0"/>
    <w:next w:val="630"/>
    <w:uiPriority w:val="99"/>
    <w:unhideWhenUsed/>
    <w:pPr>
      <w:spacing w:after="0" w:afterAutospacing="0"/>
    </w:pPr>
  </w:style>
  <w:style w:type="paragraph" w:styleId="630" w:default="1">
    <w:name w:val="Normal"/>
  </w:style>
  <w:style w:type="table" w:styleId="631" w:default="1">
    <w:name w:val="Table Normal"/>
    <w:tblPr/>
  </w:style>
  <w:style w:type="paragraph" w:styleId="632">
    <w:name w:val="Heading 1"/>
    <w:basedOn w:val="630"/>
    <w:next w:val="630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33">
    <w:name w:val="Heading 2"/>
    <w:basedOn w:val="630"/>
    <w:next w:val="630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34">
    <w:name w:val="Heading 3"/>
    <w:basedOn w:val="630"/>
    <w:next w:val="630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35">
    <w:name w:val="Heading 4"/>
    <w:basedOn w:val="630"/>
    <w:next w:val="630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36">
    <w:name w:val="Heading 5"/>
    <w:basedOn w:val="630"/>
    <w:next w:val="630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37">
    <w:name w:val="Heading 6"/>
    <w:basedOn w:val="630"/>
    <w:next w:val="630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8">
    <w:name w:val="Title"/>
    <w:basedOn w:val="630"/>
    <w:next w:val="630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9">
    <w:name w:val="Subtitle"/>
    <w:basedOn w:val="630"/>
    <w:next w:val="630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40">
    <w:name w:val="StGen0"/>
    <w:basedOn w:val="6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95" w:default="1">
    <w:name w:val="Default Paragraph Font"/>
    <w:uiPriority w:val="1"/>
    <w:semiHidden/>
    <w:unhideWhenUsed/>
  </w:style>
  <w:style w:type="numbering" w:styleId="89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spreadsheets/d/1grvTs6OTIbz0NnmIN74XNHRmNXssq_GOGp4j8OKCQIY/edit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