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0"/>
          <w:szCs w:val="40"/>
        </w:rPr>
        <w:t xml:space="preserve">Comparative UI Analysis — TideLearn vs 6 Competitors</w:t>
      </w:r>
    </w:p>
    <w:p>
      <w:pPr>
        <w:spacing w:after="400"/>
        <w:jc w:val="center"/>
      </w:pPr>
      <w:r>
        <w:rPr>
          <w:rFonts w:ascii="Arial" w:cs="Arial" w:eastAsia="Arial" w:hAnsi="Arial"/>
          <w:i/>
          <w:iCs/>
          <w:color w:val="666666"/>
          <w:sz w:val="24"/>
          <w:szCs w:val="24"/>
        </w:rPr>
        <w:t xml:space="preserve">Internal Working Document — March 2026</w:t>
      </w:r>
    </w:p>
    <w:p>
      <w:pPr>
        <w:pStyle w:val="Heading1"/>
      </w:pPr>
      <w:r>
        <w:rPr>
          <w:rFonts w:ascii="Arial" w:cs="Arial" w:eastAsia="Arial" w:hAnsi="Arial"/>
          <w:b/>
          <w:bCs/>
          <w:color w:val="2E4057"/>
          <w:sz w:val="32"/>
          <w:szCs w:val="32"/>
        </w:rPr>
        <w:t xml:space="preserve">Part 1 — Executive Summary</w:t>
      </w:r>
    </w:p>
    <w:p>
      <w:pPr>
        <w:pStyle w:val="Heading2"/>
      </w:pPr>
      <w:r>
        <w:rPr>
          <w:rFonts w:ascii="Arial" w:cs="Arial" w:eastAsia="Arial" w:hAnsi="Arial"/>
          <w:b/>
          <w:bCs/>
          <w:color w:val="2E4057"/>
          <w:sz w:val="28"/>
          <w:szCs w:val="28"/>
        </w:rPr>
        <w:t xml:space="preserve">Comparison Matrix</w:t>
      </w:r>
    </w:p>
    <w:p>
      <w:pPr>
        <w:spacing w:after="160"/>
      </w:pPr>
      <w:r>
        <w:rPr>
          <w:rFonts w:ascii="Arial" w:cs="Arial" w:eastAsia="Arial" w:hAnsi="Arial"/>
          <w:sz w:val="20"/>
          <w:szCs w:val="20"/>
        </w:rPr>
        <w:t xml:space="preserve">Scores 1–5. Color coding: red/orange = 1–2 (critically weak or absent); amber = 3 (functional and competitive at baseline); green = 4–5 (strong to best-in-class).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37"/>
        <w:gridCol w:w="1137"/>
        <w:gridCol w:w="1137"/>
        <w:gridCol w:w="1137"/>
        <w:gridCol w:w="1137"/>
        <w:gridCol w:w="1137"/>
        <w:gridCol w:w="1137"/>
      </w:tblGrid>
      <w:tr>
        <w:trPr>
          <w:tblHeader/>
        </w:trPr>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w:t>
            </w:r>
          </w:p>
        </w:tc>
        <w:tc>
          <w:tcPr>
            <w:tcW w:type="dxa" w:w="1137"/>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TideLearn</w:t>
            </w:r>
          </w:p>
        </w:tc>
        <w:tc>
          <w:tcPr>
            <w:tcW w:type="dxa" w:w="1137"/>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Rise
360</w:t>
            </w:r>
          </w:p>
        </w:tc>
        <w:tc>
          <w:tcPr>
            <w:tcW w:type="dxa" w:w="1137"/>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Easygenerator</w:t>
            </w:r>
          </w:p>
        </w:tc>
        <w:tc>
          <w:tcPr>
            <w:tcW w:type="dxa" w:w="1137"/>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Elucidat</w:t>
            </w:r>
          </w:p>
        </w:tc>
        <w:tc>
          <w:tcPr>
            <w:tcW w:type="dxa" w:w="1137"/>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Sana</w:t>
            </w:r>
          </w:p>
        </w:tc>
        <w:tc>
          <w:tcPr>
            <w:tcW w:type="dxa" w:w="1137"/>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Courseau</w:t>
            </w:r>
          </w:p>
        </w:tc>
        <w:tc>
          <w:tcPr>
            <w:tcW w:type="dxa" w:w="1137"/>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Mindsmith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Onboarding</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Visual Design</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Editor UX</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Block Library</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Learner Experience</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Publishing</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Extensibility</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137"/>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137"/>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r>
    </w:tbl>
    <w:p>
      <w:r>
        <w:t xml:space="preserve"/>
      </w:r>
    </w:p>
    <w:p>
      <w:pPr>
        <w:pStyle w:val="Heading2"/>
      </w:pPr>
      <w:r>
        <w:rPr>
          <w:rFonts w:ascii="Arial" w:cs="Arial" w:eastAsia="Arial" w:hAnsi="Arial"/>
          <w:b/>
          <w:bCs/>
          <w:color w:val="2E4057"/>
          <w:sz w:val="28"/>
          <w:szCs w:val="28"/>
        </w:rPr>
        <w:t xml:space="preserve">TideLearn's Overall Position</w:t>
      </w:r>
    </w:p>
    <w:p>
      <w:pPr>
        <w:spacing w:after="160"/>
      </w:pPr>
      <w:r>
        <w:rPr>
          <w:rFonts w:ascii="Arial" w:cs="Arial" w:eastAsia="Arial" w:hAnsi="Arial"/>
          <w:sz w:val="20"/>
          <w:szCs w:val="20"/>
        </w:rPr>
        <w:t xml:space="preserve">TideLearn achieves an average score of 3.7 across seven dimensions, placing it solidly in the middle of the competitive field on most dimensions. Its standout strength is extensibility (5/5) — the MCP server is a genuine category-defining differentiator that no other authoring tool in the benchmark replicates. The learner experience (4) and publishing breadth (4) are competitive at or near market standard. Visual design (4) is already strong. The primary gaps are in onboarding (3) — where competitors like Rise 360 and Easygenerator set a high bar with templates, AI-assisted course creation, and zero-friction trials — and in editor ergonomics (3) and block library depth (3), where the absence of drag-to-reorder, hotspot blocks, flashcards, and branching scenarios is noticeable against market leaders. The core authoring experience is genuinely usable and well-designed; the gaps are incremental improvements rather than architectural deficits.</w:t>
      </w:r>
    </w:p>
    <w:p>
      <w:r>
        <w:t xml:space="preserve"/>
      </w:r>
    </w:p>
    <w:p>
      <w:pPr>
        <w:pStyle w:val="Heading2"/>
      </w:pPr>
      <w:r>
        <w:rPr>
          <w:rFonts w:ascii="Arial" w:cs="Arial" w:eastAsia="Arial" w:hAnsi="Arial"/>
          <w:b/>
          <w:bCs/>
          <w:color w:val="2E4057"/>
          <w:sz w:val="28"/>
          <w:szCs w:val="28"/>
        </w:rPr>
        <w:t xml:space="preserve">Top 5 Priority Gaps</w:t>
      </w:r>
    </w:p>
    <w:p>
      <w:pPr>
        <w:pStyle w:val="ListParagraph"/>
        <w:numPr>
          <w:ilvl w:val="0"/>
          <w:numId w:val="2"/>
        </w:numPr>
      </w:pPr>
      <w:r>
        <w:rPr>
          <w:rFonts w:ascii="Arial" w:cs="Arial" w:eastAsia="Arial" w:hAnsi="Arial"/>
          <w:sz w:val="20"/>
          <w:szCs w:val="20"/>
        </w:rPr>
        <w:t xml:space="preserve">No onboarding tour, empty-state guidance, or getting-started prompt for new users (Dimension: Onboarding) — quick win</w:t>
      </w:r>
    </w:p>
    <w:p>
      <w:pPr>
        <w:pStyle w:val="ListParagraph"/>
        <w:numPr>
          <w:ilvl w:val="0"/>
          <w:numId w:val="2"/>
        </w:numPr>
      </w:pPr>
      <w:r>
        <w:rPr>
          <w:rFonts w:ascii="Arial" w:cs="Arial" w:eastAsia="Arial" w:hAnsi="Arial"/>
          <w:sz w:val="20"/>
          <w:szCs w:val="20"/>
        </w:rPr>
        <w:t xml:space="preserve">No course or lesson templates — every course starts from a blank slate (Dimension: Onboarding) — larger effort</w:t>
      </w:r>
    </w:p>
    <w:p>
      <w:pPr>
        <w:pStyle w:val="ListParagraph"/>
        <w:numPr>
          <w:ilvl w:val="0"/>
          <w:numId w:val="2"/>
        </w:numPr>
      </w:pPr>
      <w:r>
        <w:rPr>
          <w:rFonts w:ascii="Arial" w:cs="Arial" w:eastAsia="Arial" w:hAnsi="Arial"/>
          <w:sz w:val="20"/>
          <w:szCs w:val="20"/>
        </w:rPr>
        <w:t xml:space="preserve">No drag-to-reorder blocks — only up/down arrow buttons (Dimension: Editor UX) — larger effort</w:t>
      </w:r>
    </w:p>
    <w:p>
      <w:pPr>
        <w:pStyle w:val="ListParagraph"/>
        <w:numPr>
          <w:ilvl w:val="0"/>
          <w:numId w:val="2"/>
        </w:numPr>
      </w:pPr>
      <w:r>
        <w:rPr>
          <w:rFonts w:ascii="Arial" w:cs="Arial" w:eastAsia="Arial" w:hAnsi="Arial"/>
          <w:sz w:val="20"/>
          <w:szCs w:val="20"/>
        </w:rPr>
        <w:t xml:space="preserve">No alternative sign-in method (email/password) — Google OAuth only (Dimension: Onboarding) — quick win</w:t>
      </w:r>
    </w:p>
    <w:p>
      <w:pPr>
        <w:pStyle w:val="ListParagraph"/>
        <w:numPr>
          <w:ilvl w:val="0"/>
          <w:numId w:val="2"/>
        </w:numPr>
      </w:pPr>
      <w:r>
        <w:rPr>
          <w:rFonts w:ascii="Arial" w:cs="Arial" w:eastAsia="Arial" w:hAnsi="Arial"/>
          <w:sz w:val="20"/>
          <w:szCs w:val="20"/>
        </w:rPr>
        <w:t xml:space="preserve">No completion certificates for learners (Dimension: Learner Experience) — quick win</w:t>
      </w:r>
    </w:p>
    <w:p>
      <w:r>
        <w:br w:type="page"/>
      </w:r>
    </w:p>
    <w:p>
      <w:pPr>
        <w:pStyle w:val="Heading1"/>
      </w:pPr>
      <w:r>
        <w:rPr>
          <w:rFonts w:ascii="Arial" w:cs="Arial" w:eastAsia="Arial" w:hAnsi="Arial"/>
          <w:b/>
          <w:bCs/>
          <w:color w:val="2E4057"/>
          <w:sz w:val="32"/>
          <w:szCs w:val="32"/>
        </w:rPr>
        <w:t xml:space="preserve">Part 2 — Per-Dimension Deep Dives</w:t>
      </w:r>
    </w:p>
    <w:p>
      <w:r>
        <w:t xml:space="preserve"/>
      </w:r>
    </w:p>
    <w:p>
      <w:pPr>
        <w:pStyle w:val="Heading2"/>
      </w:pPr>
      <w:r>
        <w:rPr>
          <w:rFonts w:ascii="Arial" w:cs="Arial" w:eastAsia="Arial" w:hAnsi="Arial"/>
          <w:b/>
          <w:bCs/>
          <w:color w:val="2E4057"/>
          <w:sz w:val="28"/>
          <w:szCs w:val="28"/>
        </w:rPr>
        <w:t xml:space="preserve">Onboarding</w:t>
      </w:r>
    </w:p>
    <w:p>
      <w:pPr>
        <w:pStyle w:val="Heading3"/>
      </w:pPr>
      <w:r>
        <w:rPr>
          <w:rFonts w:ascii="Arial" w:cs="Arial" w:eastAsia="Arial" w:hAnsi="Arial"/>
          <w:b/>
          <w:bCs/>
          <w:color w:val="48A999"/>
          <w:sz w:val="24"/>
          <w:szCs w:val="24"/>
        </w:rPr>
        <w:t xml:space="preserve">Best in Class</w:t>
      </w:r>
    </w:p>
    <w:p>
      <w:pPr>
        <w:spacing w:after="160"/>
      </w:pPr>
      <w:r>
        <w:rPr>
          <w:rFonts w:ascii="Arial" w:cs="Arial" w:eastAsia="Arial" w:hAnsi="Arial"/>
          <w:sz w:val="20"/>
          <w:szCs w:val="20"/>
        </w:rPr>
        <w:t xml:space="preserve">Rise 360 — Rise 360 offers the most open onboarding of any enterprise authoring tool in this benchmark: a genuine self-serve 30-day free trial requiring no demo, no credit card gatekeeping, and no sales call. The dashboard presents a clear entry point, 1,000+ templates are available immediately, and an AI course generation flow prompts for topic, audience, tone, and objectives before drafting a complete course outline. This is the gold standard for low-friction onboarding.</w:t>
      </w:r>
    </w:p>
    <w:p>
      <w:pPr>
        <w:pStyle w:val="Heading3"/>
      </w:pPr>
      <w:r>
        <w:rPr>
          <w:rFonts w:ascii="Arial" w:cs="Arial" w:eastAsia="Arial" w:hAnsi="Arial"/>
          <w:b/>
          <w:bCs/>
          <w:color w:val="48A999"/>
          <w:sz w:val="24"/>
          <w:szCs w:val="24"/>
        </w:rPr>
        <w:t xml:space="preserve">TideLearn Today</w:t>
      </w:r>
    </w:p>
    <w:p>
      <w:pPr>
        <w:spacing w:after="160"/>
      </w:pPr>
      <w:r>
        <w:rPr>
          <w:rFonts w:ascii="Arial" w:cs="Arial" w:eastAsia="Arial" w:hAnsi="Arial"/>
          <w:sz w:val="20"/>
          <w:szCs w:val="20"/>
        </w:rPr>
        <w:t xml:space="preserve">The landing page is visually confident with a strong headline, clear value proposition (block-based authoring, SCORM export), and two clear CTAs. The auth page uses Google OAuth only — fast and frictionless, but offers no alternative sign-in and no onboarding tour or empty-state guidance once inside. The courses dashboard has an inline course-creation input which is clever, but new users get no template suggestions or getting-started prompt.</w:t>
      </w:r>
    </w:p>
    <w:p>
      <w:pPr>
        <w:pStyle w:val="Heading3"/>
      </w:pPr>
      <w:r>
        <w:rPr>
          <w:rFonts w:ascii="Arial" w:cs="Arial" w:eastAsia="Arial" w:hAnsi="Arial"/>
          <w:b/>
          <w:bCs/>
          <w:color w:val="48A999"/>
          <w:sz w:val="24"/>
          <w:szCs w:val="24"/>
        </w:rPr>
        <w:t xml:space="preserve">Gaps and Recommendations</w:t>
      </w:r>
    </w:p>
    <w:p>
      <w:pPr>
        <w:spacing w:after="160"/>
      </w:pPr>
      <w:r>
        <w:rPr>
          <w:rFonts w:ascii="Arial" w:cs="Arial" w:eastAsia="Arial" w:hAnsi="Arial"/>
          <w:sz w:val="20"/>
          <w:szCs w:val="20"/>
        </w:rPr>
        <w:t xml:space="preserve">Priority action: add a welcome modal with 3 suggested actions (create a course, try MCP, read docs) for first-time users. Second: develop 3-5 course starter templates (compliance, onboarding, product training). Third: add email/password sign-in alongside Google OAuth via Supabase. Screenshots: tidelearn-onboarding-1.png, tidelearn-onboarding-2.png (TideLearn); rise-onboarding-1.png, easygenerator-onboarding-1.png (competitors).</w:t>
      </w:r>
    </w:p>
    <w:p>
      <w:r>
        <w:t xml:space="preserve"/>
      </w:r>
    </w:p>
    <w:p>
      <w:pPr>
        <w:pStyle w:val="Heading2"/>
      </w:pPr>
      <w:r>
        <w:rPr>
          <w:rFonts w:ascii="Arial" w:cs="Arial" w:eastAsia="Arial" w:hAnsi="Arial"/>
          <w:b/>
          <w:bCs/>
          <w:color w:val="2E4057"/>
          <w:sz w:val="28"/>
          <w:szCs w:val="28"/>
        </w:rPr>
        <w:t xml:space="preserve">Visual Design</w:t>
      </w:r>
    </w:p>
    <w:p>
      <w:pPr>
        <w:pStyle w:val="Heading3"/>
      </w:pPr>
      <w:r>
        <w:rPr>
          <w:rFonts w:ascii="Arial" w:cs="Arial" w:eastAsia="Arial" w:hAnsi="Arial"/>
          <w:b/>
          <w:bCs/>
          <w:color w:val="48A999"/>
          <w:sz w:val="24"/>
          <w:szCs w:val="24"/>
        </w:rPr>
        <w:t xml:space="preserve">Best in Class</w:t>
      </w:r>
    </w:p>
    <w:p>
      <w:pPr>
        <w:spacing w:after="160"/>
      </w:pPr>
      <w:r>
        <w:rPr>
          <w:rFonts w:ascii="Arial" w:cs="Arial" w:eastAsia="Arial" w:hAnsi="Arial"/>
          <w:sz w:val="20"/>
          <w:szCs w:val="20"/>
        </w:rPr>
        <w:t xml:space="preserve">Rise 360 — Rise 360 and most competitors share a score of 4 on visual design. Rise produces genuinely polished, modern, responsive course output with three built-in themes, custom hex colors, custom font upload, logo placement, and Content Library 360 (13M+ stock images). AI image generation adds additional style options. Easygenerator and Sana are equally strong. No tool scored 5 on this dimension — the most common ceiling is layout inflexibility that prevents complex brand palette matching.</w:t>
      </w:r>
    </w:p>
    <w:p>
      <w:pPr>
        <w:pStyle w:val="Heading3"/>
      </w:pPr>
      <w:r>
        <w:rPr>
          <w:rFonts w:ascii="Arial" w:cs="Arial" w:eastAsia="Arial" w:hAnsi="Arial"/>
          <w:b/>
          <w:bCs/>
          <w:color w:val="48A999"/>
          <w:sz w:val="24"/>
          <w:szCs w:val="24"/>
        </w:rPr>
        <w:t xml:space="preserve">TideLearn Today</w:t>
      </w:r>
    </w:p>
    <w:p>
      <w:pPr>
        <w:spacing w:after="160"/>
      </w:pPr>
      <w:r>
        <w:rPr>
          <w:rFonts w:ascii="Arial" w:cs="Arial" w:eastAsia="Arial" w:hAnsi="Arial"/>
          <w:sz w:val="20"/>
          <w:szCs w:val="20"/>
        </w:rPr>
        <w:t xml:space="preserve">TideLearn has a distinctive and coherent visual identity: deep forest-green brand colour, teal accents, clean serif/sans pairing, and confident use of whitespace. The editor and learner view both feel intentionally designed rather than scaffolded. The course card grid on the dashboard lacks cover image variety (letter-initial placeholders) and the block picker could be more visually rich, but the overall polish comfortably exceeds most indie tools.</w:t>
      </w:r>
    </w:p>
    <w:p>
      <w:pPr>
        <w:pStyle w:val="Heading3"/>
      </w:pPr>
      <w:r>
        <w:rPr>
          <w:rFonts w:ascii="Arial" w:cs="Arial" w:eastAsia="Arial" w:hAnsi="Arial"/>
          <w:b/>
          <w:bCs/>
          <w:color w:val="48A999"/>
          <w:sz w:val="24"/>
          <w:szCs w:val="24"/>
        </w:rPr>
        <w:t xml:space="preserve">Gaps and Recommendations</w:t>
      </w:r>
    </w:p>
    <w:p>
      <w:pPr>
        <w:spacing w:after="160"/>
      </w:pPr>
      <w:r>
        <w:rPr>
          <w:rFonts w:ascii="Arial" w:cs="Arial" w:eastAsia="Arial" w:hAnsi="Arial"/>
          <w:sz w:val="20"/>
          <w:szCs w:val="20"/>
        </w:rPr>
        <w:t xml:space="preserve">TideLearn's visual identity is already strong. Recommended improvements: (1) allow course cover image upload or auto-generate from first image; (2) add preview thumbnail icons to the block picker; (3) consider a dark-mode learner theme option. Screenshots: tidelearn-visual-1.png, tidelearn-editor-1.png, tidelearn-learner-1.png.</w:t>
      </w:r>
    </w:p>
    <w:p>
      <w:r>
        <w:t xml:space="preserve"/>
      </w:r>
    </w:p>
    <w:p>
      <w:pPr>
        <w:pStyle w:val="Heading2"/>
      </w:pPr>
      <w:r>
        <w:rPr>
          <w:rFonts w:ascii="Arial" w:cs="Arial" w:eastAsia="Arial" w:hAnsi="Arial"/>
          <w:b/>
          <w:bCs/>
          <w:color w:val="2E4057"/>
          <w:sz w:val="28"/>
          <w:szCs w:val="28"/>
        </w:rPr>
        <w:t xml:space="preserve">Editor UX</w:t>
      </w:r>
    </w:p>
    <w:p>
      <w:pPr>
        <w:pStyle w:val="Heading3"/>
      </w:pPr>
      <w:r>
        <w:rPr>
          <w:rFonts w:ascii="Arial" w:cs="Arial" w:eastAsia="Arial" w:hAnsi="Arial"/>
          <w:b/>
          <w:bCs/>
          <w:color w:val="48A999"/>
          <w:sz w:val="24"/>
          <w:szCs w:val="24"/>
        </w:rPr>
        <w:t xml:space="preserve">Best in Class</w:t>
      </w:r>
    </w:p>
    <w:p>
      <w:pPr>
        <w:spacing w:after="160"/>
      </w:pPr>
      <w:r>
        <w:rPr>
          <w:rFonts w:ascii="Arial" w:cs="Arial" w:eastAsia="Arial" w:hAnsi="Arial"/>
          <w:sz w:val="20"/>
          <w:szCs w:val="20"/>
        </w:rPr>
        <w:t xml:space="preserve">Rise 360 — Rise's block editor is purpose-built for speed: fully browser-based, WYSIWYG, with a clear block palette, inline configuration panels, and live preview. Real-time collaborative editing (Teams tier) is a strong differentiator. AI Assistant is pervasive throughout the editor — content generation, rewrite, tone, quiz generation, image generation. The Manage Blocks feature allows multi-select reorder and cross-lesson copy. Four tools tied at 4 on this dimension; Rise and Mindsmith are the strongest authoring experiences.</w:t>
      </w:r>
    </w:p>
    <w:p>
      <w:pPr>
        <w:pStyle w:val="Heading3"/>
      </w:pPr>
      <w:r>
        <w:rPr>
          <w:rFonts w:ascii="Arial" w:cs="Arial" w:eastAsia="Arial" w:hAnsi="Arial"/>
          <w:b/>
          <w:bCs/>
          <w:color w:val="48A999"/>
          <w:sz w:val="24"/>
          <w:szCs w:val="24"/>
        </w:rPr>
        <w:t xml:space="preserve">TideLearn Today</w:t>
      </w:r>
    </w:p>
    <w:p>
      <w:pPr>
        <w:spacing w:after="160"/>
      </w:pPr>
      <w:r>
        <w:rPr>
          <w:rFonts w:ascii="Arial" w:cs="Arial" w:eastAsia="Arial" w:hAnsi="Arial"/>
          <w:sz w:val="20"/>
          <w:szCs w:val="20"/>
        </w:rPr>
        <w:t xml:space="preserve">The editor is clean and functional: two-panel layout with lesson sidebar on the left and block canvas on the right, Undo/Redo/Save/Publish in the top bar, and inline block forms that edit in place. The slash-command and block-picker UX are smooth. Weaknesses include no drag-to-reorder blocks visually (only up/down arrow buttons), no multi-select, no dark-mode preview, and the lesson sidebar becomes crowded with many lessons.</w:t>
      </w:r>
    </w:p>
    <w:p>
      <w:pPr>
        <w:pStyle w:val="Heading3"/>
      </w:pPr>
      <w:r>
        <w:rPr>
          <w:rFonts w:ascii="Arial" w:cs="Arial" w:eastAsia="Arial" w:hAnsi="Arial"/>
          <w:b/>
          <w:bCs/>
          <w:color w:val="48A999"/>
          <w:sz w:val="24"/>
          <w:szCs w:val="24"/>
        </w:rPr>
        <w:t xml:space="preserve">Gaps and Recommendations</w:t>
      </w:r>
    </w:p>
    <w:p>
      <w:pPr>
        <w:spacing w:after="160"/>
      </w:pPr>
      <w:r>
        <w:rPr>
          <w:rFonts w:ascii="Arial" w:cs="Arial" w:eastAsia="Arial" w:hAnsi="Arial"/>
          <w:sz w:val="20"/>
          <w:szCs w:val="20"/>
        </w:rPr>
        <w:t xml:space="preserve">The highest-priority editor gap is drag-to-reorder blocks — the arrow-button approach feels dated against all competitors. Secondary: add lesson search/filter when sidebar has 10+ lessons, add multi-select for block operations, and add a dark-mode editor preview. Screenshots: tidelearn-editor-1.png, tidelearn-editor-2.png.</w:t>
      </w:r>
    </w:p>
    <w:p>
      <w:r>
        <w:t xml:space="preserve"/>
      </w:r>
    </w:p>
    <w:p>
      <w:pPr>
        <w:pStyle w:val="Heading2"/>
      </w:pPr>
      <w:r>
        <w:rPr>
          <w:rFonts w:ascii="Arial" w:cs="Arial" w:eastAsia="Arial" w:hAnsi="Arial"/>
          <w:b/>
          <w:bCs/>
          <w:color w:val="2E4057"/>
          <w:sz w:val="28"/>
          <w:szCs w:val="28"/>
        </w:rPr>
        <w:t xml:space="preserve">Block Library</w:t>
      </w:r>
    </w:p>
    <w:p>
      <w:pPr>
        <w:pStyle w:val="Heading3"/>
      </w:pPr>
      <w:r>
        <w:rPr>
          <w:rFonts w:ascii="Arial" w:cs="Arial" w:eastAsia="Arial" w:hAnsi="Arial"/>
          <w:b/>
          <w:bCs/>
          <w:color w:val="48A999"/>
          <w:sz w:val="24"/>
          <w:szCs w:val="24"/>
        </w:rPr>
        <w:t xml:space="preserve">Best in Class</w:t>
      </w:r>
    </w:p>
    <w:p>
      <w:pPr>
        <w:spacing w:after="160"/>
      </w:pPr>
      <w:r>
        <w:rPr>
          <w:rFonts w:ascii="Arial" w:cs="Arial" w:eastAsia="Arial" w:hAnsi="Arial"/>
          <w:sz w:val="20"/>
          <w:szCs w:val="20"/>
        </w:rPr>
        <w:t xml:space="preserve">Rise 360 — Rise 360 has the most comprehensive and well-documented block library in this benchmark: accordion, tabs, labeled graphic (hotspot), process, timeline, scenario (branching), sorting activity (drag-drop), flashcards, buttons, chart blocks, code block (custom HTML/CSS/JS), Storyline embed, and a full assessment suite including matching. This is the only tool in the benchmark scoring 5 on block library depth.</w:t>
      </w:r>
    </w:p>
    <w:p>
      <w:pPr>
        <w:pStyle w:val="Heading3"/>
      </w:pPr>
      <w:r>
        <w:rPr>
          <w:rFonts w:ascii="Arial" w:cs="Arial" w:eastAsia="Arial" w:hAnsi="Arial"/>
          <w:b/>
          <w:bCs/>
          <w:color w:val="48A999"/>
          <w:sz w:val="24"/>
          <w:szCs w:val="24"/>
        </w:rPr>
        <w:t xml:space="preserve">TideLearn Today</w:t>
      </w:r>
    </w:p>
    <w:p>
      <w:pPr>
        <w:spacing w:after="160"/>
      </w:pPr>
      <w:r>
        <w:rPr>
          <w:rFonts w:ascii="Arial" w:cs="Arial" w:eastAsia="Arial" w:hAnsi="Arial"/>
          <w:sz w:val="20"/>
          <w:szCs w:val="20"/>
        </w:rPr>
        <w:t xml:space="preserve">TideLearn offers 15 block types across four categories: TEXT (Heading, Text, Code, List, Quote, Divider, Contents, Callout), MEDIA (Image, Video, Audio, Document), INTERACTIVE (Accordion, Tabs), and KNOWLEDGE CHECK (True/False, Short Answer, Multiple Choice). Notable gaps: no hotspot/image interaction, no drag-and-drop quiz types, no flashcard block, no branching scenario block.</w:t>
      </w:r>
    </w:p>
    <w:p>
      <w:pPr>
        <w:pStyle w:val="Heading3"/>
      </w:pPr>
      <w:r>
        <w:rPr>
          <w:rFonts w:ascii="Arial" w:cs="Arial" w:eastAsia="Arial" w:hAnsi="Arial"/>
          <w:b/>
          <w:bCs/>
          <w:color w:val="48A999"/>
          <w:sz w:val="24"/>
          <w:szCs w:val="24"/>
        </w:rPr>
        <w:t xml:space="preserve">Gaps and Recommendations</w:t>
      </w:r>
    </w:p>
    <w:p>
      <w:pPr>
        <w:spacing w:after="160"/>
      </w:pPr>
      <w:r>
        <w:rPr>
          <w:rFonts w:ascii="Arial" w:cs="Arial" w:eastAsia="Arial" w:hAnsi="Arial"/>
          <w:sz w:val="20"/>
          <w:szCs w:val="20"/>
        </w:rPr>
        <w:t xml:space="preserve">Add at least three new block types to close the most visible gaps: (1) hotspot/image interaction block, (2) flashcard/flip card block, (3) timeline block. These are confirmed in Rise, Easygenerator, and Mindsmith. Longer term: branching scenario block and sorting/drag-drop activity. Screenshots: tidelearn-blocks-1.png, tidelearn-editor-2.png; competitors: easygenerator-blocks-1.png, courseau-blocks-1.png.</w:t>
      </w:r>
    </w:p>
    <w:p>
      <w:r>
        <w:t xml:space="preserve"/>
      </w:r>
    </w:p>
    <w:p>
      <w:pPr>
        <w:pStyle w:val="Heading2"/>
      </w:pPr>
      <w:r>
        <w:rPr>
          <w:rFonts w:ascii="Arial" w:cs="Arial" w:eastAsia="Arial" w:hAnsi="Arial"/>
          <w:b/>
          <w:bCs/>
          <w:color w:val="2E4057"/>
          <w:sz w:val="28"/>
          <w:szCs w:val="28"/>
        </w:rPr>
        <w:t xml:space="preserve">Learner Experience</w:t>
      </w:r>
    </w:p>
    <w:p>
      <w:pPr>
        <w:pStyle w:val="Heading3"/>
      </w:pPr>
      <w:r>
        <w:rPr>
          <w:rFonts w:ascii="Arial" w:cs="Arial" w:eastAsia="Arial" w:hAnsi="Arial"/>
          <w:b/>
          <w:bCs/>
          <w:color w:val="48A999"/>
          <w:sz w:val="24"/>
          <w:szCs w:val="24"/>
        </w:rPr>
        <w:t xml:space="preserve">Best in Class</w:t>
      </w:r>
    </w:p>
    <w:p>
      <w:pPr>
        <w:spacing w:after="160"/>
      </w:pPr>
      <w:r>
        <w:rPr>
          <w:rFonts w:ascii="Arial" w:cs="Arial" w:eastAsia="Arial" w:hAnsi="Arial"/>
          <w:sz w:val="20"/>
          <w:szCs w:val="20"/>
        </w:rPr>
        <w:t xml:space="preserve">Rise 360 — Rise 360 and Sana both score 5. Rise is widely regarded as one of the best learner experiences in the market — fully responsive, customisable navigation, Continue blocks for progressive reveal, scenarios for branching roleplay. Sana's learner experience is uniquely differentiated by an AI tutor available on demand, personalised homepage, spaced repetition, skill badges, leaderboards, and a mobile app. Sana's AI-native features make its learner experience arguably more future-facing.</w:t>
      </w:r>
    </w:p>
    <w:p>
      <w:pPr>
        <w:pStyle w:val="Heading3"/>
      </w:pPr>
      <w:r>
        <w:rPr>
          <w:rFonts w:ascii="Arial" w:cs="Arial" w:eastAsia="Arial" w:hAnsi="Arial"/>
          <w:b/>
          <w:bCs/>
          <w:color w:val="48A999"/>
          <w:sz w:val="24"/>
          <w:szCs w:val="24"/>
        </w:rPr>
        <w:t xml:space="preserve">TideLearn Today</w:t>
      </w:r>
    </w:p>
    <w:p>
      <w:pPr>
        <w:spacing w:after="160"/>
      </w:pPr>
      <w:r>
        <w:rPr>
          <w:rFonts w:ascii="Arial" w:cs="Arial" w:eastAsia="Arial" w:hAnsi="Arial"/>
          <w:sz w:val="20"/>
          <w:szCs w:val="20"/>
        </w:rPr>
        <w:t xml:space="preserve">The learner view is clean, fast, and well-structured: lesson sidebar, paged navigation with Paged/View-All toggle, progress indicator (Lesson N of N), Next/Previous controls, and embedded media rendered inline including YouTube videos and a full PDF viewer. The quiz block in learner view renders with clear A/B/C/D pill choices and Check/Reset buttons. The main gap is the absence of completion certificates, learner progress persistence between sessions, and any gamification layer.</w:t>
      </w:r>
    </w:p>
    <w:p>
      <w:pPr>
        <w:pStyle w:val="Heading3"/>
      </w:pPr>
      <w:r>
        <w:rPr>
          <w:rFonts w:ascii="Arial" w:cs="Arial" w:eastAsia="Arial" w:hAnsi="Arial"/>
          <w:b/>
          <w:bCs/>
          <w:color w:val="48A999"/>
          <w:sz w:val="24"/>
          <w:szCs w:val="24"/>
        </w:rPr>
        <w:t xml:space="preserve">Gaps and Recommendations</w:t>
      </w:r>
    </w:p>
    <w:p>
      <w:pPr>
        <w:spacing w:after="160"/>
      </w:pPr>
      <w:r>
        <w:rPr>
          <w:rFonts w:ascii="Arial" w:cs="Arial" w:eastAsia="Arial" w:hAnsi="Arial"/>
          <w:sz w:val="20"/>
          <w:szCs w:val="20"/>
        </w:rPr>
        <w:t xml:space="preserve">Three learner gaps to close: (1) completion certificates — a PDF auto-generated on course completion; (2) progress persistence for shared URL mode (server-side bookmark); (3) gamification hooks (optional badges or progress streaks). Screenshots: tidelearn-learner-1.png.</w:t>
      </w:r>
    </w:p>
    <w:p>
      <w:r>
        <w:t xml:space="preserve"/>
      </w:r>
    </w:p>
    <w:p>
      <w:pPr>
        <w:pStyle w:val="Heading2"/>
      </w:pPr>
      <w:r>
        <w:rPr>
          <w:rFonts w:ascii="Arial" w:cs="Arial" w:eastAsia="Arial" w:hAnsi="Arial"/>
          <w:b/>
          <w:bCs/>
          <w:color w:val="2E4057"/>
          <w:sz w:val="28"/>
          <w:szCs w:val="28"/>
        </w:rPr>
        <w:t xml:space="preserve">Publishing</w:t>
      </w:r>
    </w:p>
    <w:p>
      <w:pPr>
        <w:pStyle w:val="Heading3"/>
      </w:pPr>
      <w:r>
        <w:rPr>
          <w:rFonts w:ascii="Arial" w:cs="Arial" w:eastAsia="Arial" w:hAnsi="Arial"/>
          <w:b/>
          <w:bCs/>
          <w:color w:val="48A999"/>
          <w:sz w:val="24"/>
          <w:szCs w:val="24"/>
        </w:rPr>
        <w:t xml:space="preserve">Best in Class</w:t>
      </w:r>
    </w:p>
    <w:p>
      <w:pPr>
        <w:spacing w:after="160"/>
      </w:pPr>
      <w:r>
        <w:rPr>
          <w:rFonts w:ascii="Arial" w:cs="Arial" w:eastAsia="Arial" w:hAnsi="Arial"/>
          <w:sz w:val="20"/>
          <w:szCs w:val="20"/>
        </w:rPr>
        <w:t xml:space="preserve">Rise 360 — Rise 360, Easygenerator, and Elucidat all score 5. Rise supports SCORM 1.2, SCORM 2004, xAPI, cmi5, and AICC from a single built-in Publish flow — five standards plus Quick Share link plus Reach 360 direct publish plus PDF plus web export. Easygenerator adds Dynamic SCORM (update-in-place without re-upload). Elucidat adds instant re-release and 15+ direct LMS integrations with multi-language SCORM in a single package.</w:t>
      </w:r>
    </w:p>
    <w:p>
      <w:pPr>
        <w:pStyle w:val="Heading3"/>
      </w:pPr>
      <w:r>
        <w:rPr>
          <w:rFonts w:ascii="Arial" w:cs="Arial" w:eastAsia="Arial" w:hAnsi="Arial"/>
          <w:b/>
          <w:bCs/>
          <w:color w:val="48A999"/>
          <w:sz w:val="24"/>
          <w:szCs w:val="24"/>
        </w:rPr>
        <w:t xml:space="preserve">TideLearn Today</w:t>
      </w:r>
    </w:p>
    <w:p>
      <w:pPr>
        <w:spacing w:after="160"/>
      </w:pPr>
      <w:r>
        <w:rPr>
          <w:rFonts w:ascii="Arial" w:cs="Arial" w:eastAsia="Arial" w:hAnsi="Arial"/>
          <w:sz w:val="20"/>
          <w:szCs w:val="20"/>
        </w:rPr>
        <w:t xml:space="preserve">The publish flow is a standout: a single modal surfaces four options — shareable URL (one click to copy), SCORM 1.2 export (.zip), HTML self-hosted export (.html), and Course JSON (.json). This is a broad and competitive set for a tool at this stage. The modal also surfaces content validation warnings before publishing. Missing items include SCORM 2004, xAPI/Tin Can, password protection, and SSO-gated learner access.</w:t>
      </w:r>
    </w:p>
    <w:p>
      <w:pPr>
        <w:pStyle w:val="Heading3"/>
      </w:pPr>
      <w:r>
        <w:rPr>
          <w:rFonts w:ascii="Arial" w:cs="Arial" w:eastAsia="Arial" w:hAnsi="Arial"/>
          <w:b/>
          <w:bCs/>
          <w:color w:val="48A999"/>
          <w:sz w:val="24"/>
          <w:szCs w:val="24"/>
        </w:rPr>
        <w:t xml:space="preserve">Gaps and Recommendations</w:t>
      </w:r>
    </w:p>
    <w:p>
      <w:pPr>
        <w:spacing w:after="160"/>
      </w:pPr>
      <w:r>
        <w:rPr>
          <w:rFonts w:ascii="Arial" w:cs="Arial" w:eastAsia="Arial" w:hAnsi="Arial"/>
          <w:sz w:val="20"/>
          <w:szCs w:val="20"/>
        </w:rPr>
        <w:t xml:space="preserve">Add password protection to shareable course URLs (Supabase row-level security, minimal dev effort). Add xAPI/Tin Can export to compete at enterprise level. Consider SCORM 2004 support. Longer term: learner-facing analytics dashboard for shared URLs. Screenshots: tidelearn-publishing-1.png; competitor: easygenerator-publishing-1.png.</w:t>
      </w:r>
    </w:p>
    <w:p>
      <w:r>
        <w:t xml:space="preserve"/>
      </w:r>
    </w:p>
    <w:p>
      <w:pPr>
        <w:pStyle w:val="Heading2"/>
      </w:pPr>
      <w:r>
        <w:rPr>
          <w:rFonts w:ascii="Arial" w:cs="Arial" w:eastAsia="Arial" w:hAnsi="Arial"/>
          <w:b/>
          <w:bCs/>
          <w:color w:val="2E4057"/>
          <w:sz w:val="28"/>
          <w:szCs w:val="28"/>
        </w:rPr>
        <w:t xml:space="preserve">Extensibility</w:t>
      </w:r>
    </w:p>
    <w:p>
      <w:pPr>
        <w:pStyle w:val="Heading3"/>
      </w:pPr>
      <w:r>
        <w:rPr>
          <w:rFonts w:ascii="Arial" w:cs="Arial" w:eastAsia="Arial" w:hAnsi="Arial"/>
          <w:b/>
          <w:bCs/>
          <w:color w:val="48A999"/>
          <w:sz w:val="24"/>
          <w:szCs w:val="24"/>
        </w:rPr>
        <w:t xml:space="preserve">Best in Class</w:t>
      </w:r>
    </w:p>
    <w:p>
      <w:pPr>
        <w:spacing w:after="160"/>
      </w:pPr>
      <w:r>
        <w:rPr>
          <w:rFonts w:ascii="Arial" w:cs="Arial" w:eastAsia="Arial" w:hAnsi="Arial"/>
          <w:sz w:val="20"/>
          <w:szCs w:val="20"/>
        </w:rPr>
        <w:t xml:space="preserve">TideLearn — TideLearn scores 5 and is best-in-class on extensibility — the only authoring tool in the benchmark to offer a full Model Context Protocol (MCP) server exposing 32 tools across the complete authoring lifecycle. No competitor offers this depth of programmatic control. Elucidat and Sana are the next strongest with documented REST APIs and webhook support, scoring 4.</w:t>
      </w:r>
    </w:p>
    <w:p>
      <w:pPr>
        <w:pStyle w:val="Heading3"/>
      </w:pPr>
      <w:r>
        <w:rPr>
          <w:rFonts w:ascii="Arial" w:cs="Arial" w:eastAsia="Arial" w:hAnsi="Arial"/>
          <w:b/>
          <w:bCs/>
          <w:color w:val="48A999"/>
          <w:sz w:val="24"/>
          <w:szCs w:val="24"/>
        </w:rPr>
        <w:t xml:space="preserve">TideLearn Today</w:t>
      </w:r>
    </w:p>
    <w:p>
      <w:pPr>
        <w:spacing w:after="160"/>
      </w:pPr>
      <w:r>
        <w:rPr>
          <w:rFonts w:ascii="Arial" w:cs="Arial" w:eastAsia="Arial" w:hAnsi="Arial"/>
          <w:sz w:val="20"/>
          <w:szCs w:val="20"/>
        </w:rPr>
        <w:t xml:space="preserve">TideLearn's MCP server is its primary differentiator and is best-in-class among authoring tools. The server exposes 32 tools covering the complete authoring lifecycle: auth, courses, lessons, blocks, assessment, media, and preview. Semantic/AI tools include generate_lesson, generate_quiz_for_lesson, rewrite_block, rewrite_lesson, restructure_course, and review_course. No other course authoring tool on the market exposes this depth of programmatic control via the Model Context Protocol.</w:t>
      </w:r>
    </w:p>
    <w:p>
      <w:pPr>
        <w:pStyle w:val="Heading3"/>
      </w:pPr>
      <w:r>
        <w:rPr>
          <w:rFonts w:ascii="Arial" w:cs="Arial" w:eastAsia="Arial" w:hAnsi="Arial"/>
          <w:b/>
          <w:bCs/>
          <w:color w:val="48A999"/>
          <w:sz w:val="24"/>
          <w:szCs w:val="24"/>
        </w:rPr>
        <w:t xml:space="preserve">Gaps and Recommendations</w:t>
      </w:r>
    </w:p>
    <w:p>
      <w:pPr>
        <w:spacing w:after="160"/>
      </w:pPr>
      <w:r>
        <w:rPr>
          <w:rFonts w:ascii="Arial" w:cs="Arial" w:eastAsia="Arial" w:hAnsi="Arial"/>
          <w:sz w:val="20"/>
          <w:szCs w:val="20"/>
        </w:rPr>
        <w:t xml:space="preserve">TideLearn already leads. Recommendations: (1) publish the MCP server schema as public documentation to attract developer-authors; (2) add a webhook on course completion for third-party LMS/HRIS integrations; (3) ensure the MCP server is listed on the official MCP registry for discoverability.</w:t>
      </w:r>
    </w:p>
    <w:p>
      <w:r>
        <w:t xml:space="preserve"/>
      </w:r>
    </w:p>
    <w:p>
      <w:r>
        <w:br w:type="page"/>
      </w:r>
    </w:p>
    <w:p>
      <w:pPr>
        <w:pStyle w:val="Heading1"/>
      </w:pPr>
      <w:r>
        <w:rPr>
          <w:rFonts w:ascii="Arial" w:cs="Arial" w:eastAsia="Arial" w:hAnsi="Arial"/>
          <w:b/>
          <w:bCs/>
          <w:color w:val="2E4057"/>
          <w:sz w:val="32"/>
          <w:szCs w:val="32"/>
        </w:rPr>
        <w:t xml:space="preserve">Part 3 — Key Journey Walkthroughs</w:t>
      </w:r>
    </w:p>
    <w:p>
      <w:r>
        <w:t xml:space="preserve"/>
      </w:r>
    </w:p>
    <w:p>
      <w:pPr>
        <w:pStyle w:val="Heading2"/>
      </w:pPr>
      <w:r>
        <w:rPr>
          <w:rFonts w:ascii="Arial" w:cs="Arial" w:eastAsia="Arial" w:hAnsi="Arial"/>
          <w:b/>
          <w:bCs/>
          <w:color w:val="2E4057"/>
          <w:sz w:val="28"/>
          <w:szCs w:val="28"/>
        </w:rPr>
        <w:t xml:space="preserve">Journey 1: Create a New Course and Add a First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3200"/>
        <w:gridCol w:w="4060"/>
      </w:tblGrid>
      <w:tr>
        <w:trPr>
          <w:tblHeader/>
        </w:trPr>
        <w:tc>
          <w:tcPr>
            <w:tcW w:type="dxa" w:w="13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w:t>
            </w:r>
          </w:p>
        </w:tc>
        <w:tc>
          <w:tcPr>
            <w:tcW w:type="dxa" w:w="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Steps</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Friction Points</w:t>
            </w:r>
          </w:p>
        </w:tc>
        <w:tc>
          <w:tcPr>
            <w:tcW w:type="dxa" w:w="40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Quality Note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TideLearn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Google OAuth only; no onboarding tour; no templates; blank-slate start. Via MCP: create_course + add_lesson is 2 tool calls but requires Claude setup.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Clean inline course-creation input on dashboard; fast once understood but offers no scaffolding. MCP path is the fastest in the benchmark for users with Claude configured.</w:t>
            </w:r>
          </w:p>
        </w:tc>
      </w:tr>
      <w:t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Rise 360</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No free tier (30-day trial only); AI features require separate tier after trial.</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Gold standard onboarding: sign up, open browser, click Create, choose template or AI generation. 1,000+ templates provide immediate scaffolding.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Easygenerator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friction at sign-up; course structure must be built manually in base flow; block selection requires familiarity with six category tabs.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SME-optimised flow. Reviewers report first course possible within an hour for non-technical authors.</w:t>
            </w:r>
          </w:p>
        </w:tc>
      </w:tr>
      <w:t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Elucidat</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Demo-gated trial — must book a call before accessing; pricing starts at $1,650/user/year.</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Rich template library and dual authoring modes scaffold well once access is granted. The demo gate is the primary friction.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Sana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self-serve trial; custom pricing requires sales contact; full onboarding requires implementation support.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Cannot be tested directly. Marketing describes a 3-step AI-assisted flow: log in, upload source, AI generates course.</w:t>
            </w:r>
          </w:p>
        </w:tc>
      </w:tr>
      <w:t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Courseau</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Must enter company email to start trial; AI generation requires defining objectives before draft is produced.</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Fastest confirmed path to first course output: sign up, define objectives, AI generates draft. Marketing claims content to course in minutes.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Mindsmith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 plan limited to 5 lessons per course; AI credits are finite (450 at signup); no direct editor access achieved during audit.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Sub-10-minute path from document to shareable lesson is the marketing claim. Storyboard system allows human oversight at each AI step.</w:t>
            </w:r>
          </w:p>
        </w:tc>
      </w:tr>
    </w:tbl>
    <w:p>
      <w:r>
        <w:t xml:space="preserve"/>
      </w:r>
    </w:p>
    <w:p>
      <w:pPr>
        <w:spacing w:after="160"/>
      </w:pPr>
      <w:r>
        <w:rPr>
          <w:rFonts w:ascii="Arial" w:cs="Arial" w:eastAsia="Arial" w:hAnsi="Arial"/>
          <w:sz w:val="20"/>
          <w:szCs w:val="20"/>
        </w:rPr>
        <w:t xml:space="preserve">TideLearn's create-course journey is fast for users who understand the dashboard but provides no scaffolding for first-time users. The MCP path is uniquely fast among all tools — 2 tool calls versus 3-5 browser steps — but requires Claude configured and MCP familiarity. The highest priority improvement is adding an onboarding welcome modal and at least 3 course templates to close the gap with Rise, Easygenerator, and Mindsmith.</w:t>
      </w:r>
    </w:p>
    <w:p>
      <w:r>
        <w:t xml:space="preserve"/>
      </w:r>
    </w:p>
    <w:p>
      <w:r>
        <w:t xml:space="preserve"/>
      </w:r>
    </w:p>
    <w:p>
      <w:pPr>
        <w:pStyle w:val="Heading2"/>
      </w:pPr>
      <w:r>
        <w:rPr>
          <w:rFonts w:ascii="Arial" w:cs="Arial" w:eastAsia="Arial" w:hAnsi="Arial"/>
          <w:b/>
          <w:bCs/>
          <w:color w:val="2E4057"/>
          <w:sz w:val="28"/>
          <w:szCs w:val="28"/>
        </w:rPr>
        <w:t xml:space="preserve">Journey 2: Build a Mixed-Content Lesson (Text, Media, Interactive, Knowledge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3200"/>
        <w:gridCol w:w="4060"/>
      </w:tblGrid>
      <w:tr>
        <w:trPr>
          <w:tblHeader/>
        </w:trPr>
        <w:tc>
          <w:tcPr>
            <w:tcW w:type="dxa" w:w="13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w:t>
            </w:r>
          </w:p>
        </w:tc>
        <w:tc>
          <w:tcPr>
            <w:tcW w:type="dxa" w:w="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Steps</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Friction Points</w:t>
            </w:r>
          </w:p>
        </w:tc>
        <w:tc>
          <w:tcPr>
            <w:tcW w:type="dxa" w:w="40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Quality Note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TideLearn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drag-to-reorder (only up/down arrows); no hotspot, flashcard, branching, or sorting blocks; block picker is functional but not visually rich.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Slash-command block insertion is smooth. Inline block editing is clean. 15-block palette covers essentials. MCP enables rapid mixed-content assembly.</w:t>
            </w:r>
          </w:p>
        </w:tc>
      </w:tr>
      <w:t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Rise 360</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Single accent color limits complex brand matching; no freeform canvas; Storyline embeds require a separate license.</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Best-in-class block diversity: accordion, tabs, hotspot, timeline, scenario, sorting, flashcards, charts, code block. Drag-and-drop reorder. Most capable experience.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Easygenerator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dedicated accordion or tab block confirmed; video completion enforcement not available; no stock media library.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Interactive tab provides flip cards, card sorting, how-to, and walkthrough. Assessment block variety (9 question types) is a standout strength.</w:t>
            </w:r>
          </w:p>
        </w:tc>
      </w:tr>
      <w:t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Elucidat</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Specific interactive block types not enumerated in public sources; editor described as clunky for complex layouts; analytics are add-ons on lower tiers.</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Dual authoring model handles different skill levels. Built-in screen recording and Pixabay stock library. Block catalogue depth unclear without direct access.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Sana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Block type variety appears narrower than dedicated authoring tools; slide-metaphor editor; no confirmed hotspot, accordion, or timeline blocks.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AI handles most content structuring. Polls, quizzes, reflection cards, and wiki pages confirmed. AI-native editor reduces manual block assembly.</w:t>
            </w:r>
          </w:p>
        </w:tc>
      </w:tr>
      <w:t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Courseau</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In-app editor not captured — flow inferred from marketing; no confirmed accordion, tabs, hotspot, or timeline blocks.</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AI generates initial slide deck; author reviews and edits. Flip cards, quizzes, key takeaways are the primary interactive elements.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Mindsmith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Tile palette not fully enumerable from public sources; no screen recording confirmed; microlearning format constrains lesson length.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AI conversation block and branching scenarios are standout differentiators. Accordion, flashcard, sorting activity, and quiz types provide good variety.</w:t>
            </w:r>
          </w:p>
        </w:tc>
      </w:tr>
    </w:tbl>
    <w:p>
      <w:r>
        <w:t xml:space="preserve"/>
      </w:r>
    </w:p>
    <w:p>
      <w:pPr>
        <w:spacing w:after="160"/>
      </w:pPr>
      <w:r>
        <w:rPr>
          <w:rFonts w:ascii="Arial" w:cs="Arial" w:eastAsia="Arial" w:hAnsi="Arial"/>
          <w:sz w:val="20"/>
          <w:szCs w:val="20"/>
        </w:rPr>
        <w:t xml:space="preserve">TideLearn's mixed-content journey is smooth for the blocks that exist but limited in range. The absence of drag-to-reorder is the most visible ergonomic gap. Adding a hotspot block, flashcard block, and timeline block would close the most noticeable functional gaps against market leaders. The MCP path (add_block calls) is already the most programmatically accessible approach in the benchmark.</w:t>
      </w:r>
    </w:p>
    <w:p>
      <w:r>
        <w:t xml:space="preserve"/>
      </w:r>
    </w:p>
    <w:p>
      <w:r>
        <w:t xml:space="preserve"/>
      </w:r>
    </w:p>
    <w:p>
      <w:pPr>
        <w:pStyle w:val="Heading2"/>
      </w:pPr>
      <w:r>
        <w:rPr>
          <w:rFonts w:ascii="Arial" w:cs="Arial" w:eastAsia="Arial" w:hAnsi="Arial"/>
          <w:b/>
          <w:bCs/>
          <w:color w:val="2E4057"/>
          <w:sz w:val="28"/>
          <w:szCs w:val="28"/>
        </w:rPr>
        <w:t xml:space="preserve">Journey 3: Publish a Course and Share with Learners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3200"/>
        <w:gridCol w:w="4060"/>
      </w:tblGrid>
      <w:tr>
        <w:trPr>
          <w:tblHeader/>
        </w:trPr>
        <w:tc>
          <w:tcPr>
            <w:tcW w:type="dxa" w:w="13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w:t>
            </w:r>
          </w:p>
        </w:tc>
        <w:tc>
          <w:tcPr>
            <w:tcW w:type="dxa" w:w="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Steps</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Friction Points</w:t>
            </w:r>
          </w:p>
        </w:tc>
        <w:tc>
          <w:tcPr>
            <w:tcW w:type="dxa" w:w="40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Quality Note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TideLearn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SCORM 2004 or xAPI; no password protection on shared links; no SSO-gated learner access; no analytics on shared link views.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One of the cleanest publish flows: single modal with 4 export options (URL, SCORM 1.2, HTML, JSON) and inline validation warnings. Simplicity is a genuine UX strength.</w:t>
            </w:r>
          </w:p>
        </w:tc>
      </w:tr>
      <w:t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Rise 360</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SCORM packages must be manually re-uploaded to third-party LMSes on update; no LTI native support; Reach 360 analytics are basic.</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Best-in-class: 5 LMS standards (SCORM 1.2, SCORM 2004, xAPI, cmi5, AICC) plus Quick Share link plus Reach 360 direct publish plus PDF plus web.</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Easygenerator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Dynamic SCORM upload requires initial LMS configuration; LTI tracking limited to pass/fail score only; analytics requires per-course report generation.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Strong publish flow: link, QR, embed, SCORM 1.2/2004, xAPI, LTI, HTML, PDF. Dynamic SCORM (update-in-place) is a genuine workflow differentiator.</w:t>
            </w:r>
          </w:p>
        </w:tc>
      </w:tr>
      <w:t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Elucidat</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No LTI mentioned; analytics dashboards are add-ons on lower tiers; no confirmed password protection on URL releases.</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Enterprise-grade: SCORM 1.2/2004, xAPI, URL release, instant re-release, 15+ LMS direct integrations, multi-language SCORM package.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Sana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Walled-garden platform — no anonymous shareable link confirmed; SCORM export from Sana-native content not explicitly confirmed; requires user auth for all learner access.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Publishing is native within the Sana LMS. SSO + SCIM for learner provisioning. SCORM/xAPI/LTI for external LMS integration.</w:t>
            </w:r>
          </w:p>
        </w:tc>
      </w:tr>
      <w:t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Courseau</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SCORM export may be plan-gated; xAPI not confirmed; no instant re-release confirmed.</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6 sharing modes (link, QR, SCORM, embed, PowerPoint, live embed). Password protection available. Variety competitive for the price point.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Mindsmith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 plan restricts sharing to 2 lessons; SCORM version not confirmed (1.2 vs 2004); auto-updating SCORM may not be compatible with all LMS configurations.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Auto-updating SCORM is the headline differentiator. Link sharing without learner accounts is smooth. Multi-language packaging across 70+ languages.</w:t>
            </w:r>
          </w:p>
        </w:tc>
      </w:tr>
    </w:tbl>
    <w:p>
      <w:r>
        <w:t xml:space="preserve"/>
      </w:r>
    </w:p>
    <w:p>
      <w:pPr>
        <w:spacing w:after="160"/>
      </w:pPr>
      <w:r>
        <w:rPr>
          <w:rFonts w:ascii="Arial" w:cs="Arial" w:eastAsia="Arial" w:hAnsi="Arial"/>
          <w:sz w:val="20"/>
          <w:szCs w:val="20"/>
        </w:rPr>
        <w:t xml:space="preserve">TideLearn's publish journey has the most ergonomic UI in the benchmark — a single clean modal beats the multi-step export flows common in enterprise tools. The content gaps (no xAPI, no SCORM 2004, no password protection) are addressable without architectural change. Password protection via Supabase row-level security is the highest-return quick win. xAPI support would unlock enterprise LMS compatibility at the reporting layer.</w:t>
      </w:r>
    </w:p>
    <w:p>
      <w:r>
        <w:t xml:space="preserve"/>
      </w:r>
    </w:p>
    <w:p>
      <w:r>
        <w:br w:type="page"/>
      </w:r>
    </w:p>
    <w:p>
      <w:pPr>
        <w:pStyle w:val="Heading1"/>
      </w:pPr>
      <w:r>
        <w:rPr>
          <w:rFonts w:ascii="Arial" w:cs="Arial" w:eastAsia="Arial" w:hAnsi="Arial"/>
          <w:b/>
          <w:bCs/>
          <w:color w:val="2E4057"/>
          <w:sz w:val="32"/>
          <w:szCs w:val="32"/>
        </w:rPr>
        <w:t xml:space="preserve">Part 4 — Prioritised UI Roadmap</w:t>
      </w:r>
    </w:p>
    <w:p>
      <w:pPr>
        <w:spacing w:after="160"/>
      </w:pPr>
      <w:r>
        <w:rPr>
          <w:rFonts w:ascii="Arial" w:cs="Arial" w:eastAsia="Arial" w:hAnsi="Arial"/>
          <w:sz w:val="20"/>
          <w:szCs w:val="20"/>
        </w:rPr>
        <w:t xml:space="preserve">Gaps are grouped by priority tier and ordered within each tier by suggested implementation sequence. Impact is scored relative to user acquisition and evaluation outcomes for TideLearn's primary audiences (L&amp;D testers, MA supervisors, investors). Effort is a rough engineering estimate: Quick win = hours to days; Larger effort = days to weeks.</w:t>
      </w:r>
    </w:p>
    <w:p>
      <w:r>
        <w:t xml:space="preserve"/>
      </w:r>
    </w:p>
    <w:p>
      <w:pPr>
        <w:pStyle w:val="Heading2"/>
      </w:pPr>
      <w:r>
        <w:rPr>
          <w:rFonts w:ascii="Arial" w:cs="Arial" w:eastAsia="Arial" w:hAnsi="Arial"/>
          <w:b/>
          <w:bCs/>
          <w:color w:val="2E4057"/>
          <w:sz w:val="28"/>
          <w:szCs w:val="28"/>
        </w:rPr>
        <w:t xml:space="preserve">Priority 1 — High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320"/>
        <w:gridCol w:w="1680"/>
        <w:gridCol w:w="1560"/>
      </w:tblGrid>
      <w:tr>
        <w:trPr>
          <w:tblHeader/>
        </w:trPr>
        <w:tc>
          <w:tcPr>
            <w:tcW w:type="dxa" w:w="4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w:t>
            </w:r>
          </w:p>
        </w:tc>
        <w:tc>
          <w:tcPr>
            <w:tcW w:type="dxa" w:w="13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1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c>
          <w:tcPr>
            <w:tcW w:type="dxa" w:w="1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Suggested Order</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onboarding tour, empty-state guidance, or getting-started prompt for new users</w:t>
            </w:r>
          </w:p>
        </w:tc>
        <w:tc>
          <w:tcPr>
            <w:tcW w:type="dxa" w:w="1320"/>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680"/>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Quick win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w:t>
            </w:r>
          </w:p>
        </w:tc>
      </w:tr>
      <w:tr>
        <w:tc>
          <w:tcPr>
            <w:tcW w:type="dxa" w:w="4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No course or lesson templates — every course starts from scratch</w:t>
            </w:r>
          </w:p>
        </w:tc>
        <w:tc>
          <w:tcPr>
            <w:tcW w:type="dxa" w:w="1320"/>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680"/>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Larger effort</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w:t>
            </w:r>
          </w:p>
        </w:tc>
      </w:tr>
    </w:tbl>
    <w:p>
      <w:r>
        <w:t xml:space="preserve"/>
      </w:r>
    </w:p>
    <w:p>
      <w:pPr>
        <w:pStyle w:val="Heading2"/>
      </w:pPr>
      <w:r>
        <w:rPr>
          <w:rFonts w:ascii="Arial" w:cs="Arial" w:eastAsia="Arial" w:hAnsi="Arial"/>
          <w:b/>
          <w:bCs/>
          <w:color w:val="2E4057"/>
          <w:sz w:val="28"/>
          <w:szCs w:val="28"/>
        </w:rPr>
        <w:t xml:space="preserve">Priority 2 — Medium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320"/>
        <w:gridCol w:w="1680"/>
        <w:gridCol w:w="1560"/>
      </w:tblGrid>
      <w:tr>
        <w:trPr>
          <w:tblHeader/>
        </w:trPr>
        <w:tc>
          <w:tcPr>
            <w:tcW w:type="dxa" w:w="4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w:t>
            </w:r>
          </w:p>
        </w:tc>
        <w:tc>
          <w:tcPr>
            <w:tcW w:type="dxa" w:w="13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1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c>
          <w:tcPr>
            <w:tcW w:type="dxa" w:w="1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Suggested Order</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drag-to-reorder blocks — only up/down arrow buttons</w:t>
            </w:r>
          </w:p>
        </w:tc>
        <w:tc>
          <w:tcPr>
            <w:tcW w:type="dxa" w:w="1320"/>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Medium</w:t>
            </w:r>
          </w:p>
        </w:tc>
        <w:tc>
          <w:tcPr>
            <w:tcW w:type="dxa" w:w="1680"/>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Larger effort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w:t>
            </w:r>
          </w:p>
        </w:tc>
      </w:tr>
      <w:tr>
        <w:tc>
          <w:tcPr>
            <w:tcW w:type="dxa" w:w="4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No alternative sign-in method (email/password) — Google OAuth only</w:t>
            </w:r>
          </w:p>
        </w:tc>
        <w:tc>
          <w:tcPr>
            <w:tcW w:type="dxa" w:w="1320"/>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Medium</w:t>
            </w:r>
          </w:p>
        </w:tc>
        <w:tc>
          <w:tcPr>
            <w:tcW w:type="dxa" w:w="1680"/>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Quick win</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completion certificates for learners</w:t>
            </w:r>
          </w:p>
        </w:tc>
        <w:tc>
          <w:tcPr>
            <w:tcW w:type="dxa" w:w="1320"/>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Medium</w:t>
            </w:r>
          </w:p>
        </w:tc>
        <w:tc>
          <w:tcPr>
            <w:tcW w:type="dxa" w:w="1680"/>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Quick win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5</w:t>
            </w:r>
          </w:p>
        </w:tc>
      </w:tr>
      <w:tr>
        <w:tc>
          <w:tcPr>
            <w:tcW w:type="dxa" w:w="4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No learner progress persistence between sessions (shared URL mode)</w:t>
            </w:r>
          </w:p>
        </w:tc>
        <w:tc>
          <w:tcPr>
            <w:tcW w:type="dxa" w:w="1320"/>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Medium</w:t>
            </w:r>
          </w:p>
        </w:tc>
        <w:tc>
          <w:tcPr>
            <w:tcW w:type="dxa" w:w="1680"/>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Larger effort</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6</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password protection on shareable course URLs</w:t>
            </w:r>
          </w:p>
        </w:tc>
        <w:tc>
          <w:tcPr>
            <w:tcW w:type="dxa" w:w="1320"/>
            <w:tcBorders>
              <w:top w:val="single" w:color="CCCCCC" w:sz="1"/>
              <w:left w:val="single" w:color="CCCCCC" w:sz="1"/>
              <w:bottom w:val="single" w:color="CCCCCC" w:sz="1"/>
              <w:right w:val="single" w:color="CCCCCC" w:sz="1"/>
            </w:tcBorders>
            <w:shd w:fill="FFD93D"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Medium</w:t>
            </w:r>
          </w:p>
        </w:tc>
        <w:tc>
          <w:tcPr>
            <w:tcW w:type="dxa" w:w="1680"/>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Quick win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10</w:t>
            </w:r>
          </w:p>
        </w:tc>
      </w:tr>
    </w:tbl>
    <w:p>
      <w:r>
        <w:t xml:space="preserve"/>
      </w:r>
    </w:p>
    <w:p>
      <w:pPr>
        <w:pStyle w:val="Heading2"/>
      </w:pPr>
      <w:r>
        <w:rPr>
          <w:rFonts w:ascii="Arial" w:cs="Arial" w:eastAsia="Arial" w:hAnsi="Arial"/>
          <w:b/>
          <w:bCs/>
          <w:color w:val="2E4057"/>
          <w:sz w:val="28"/>
          <w:szCs w:val="28"/>
        </w:rPr>
        <w:t xml:space="preserve">Priority 3 — Low Impact /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320"/>
        <w:gridCol w:w="1680"/>
        <w:gridCol w:w="1560"/>
      </w:tblGrid>
      <w:tr>
        <w:trPr>
          <w:tblHeader/>
        </w:trPr>
        <w:tc>
          <w:tcPr>
            <w:tcW w:type="dxa" w:w="4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w:t>
            </w:r>
          </w:p>
        </w:tc>
        <w:tc>
          <w:tcPr>
            <w:tcW w:type="dxa" w:w="13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1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c>
          <w:tcPr>
            <w:tcW w:type="dxa" w:w="1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Suggested Order</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 picker lacks visual richness — text labels only, no preview thumbnails</w:t>
            </w:r>
          </w:p>
        </w:tc>
        <w:tc>
          <w:tcPr>
            <w:tcW w:type="dxa" w:w="1320"/>
            <w:tcBorders>
              <w:top w:val="single" w:color="CCCCCC" w:sz="1"/>
              <w:left w:val="single" w:color="CCCCCC" w:sz="1"/>
              <w:bottom w:val="single" w:color="CCCCCC" w:sz="1"/>
              <w:right w:val="single" w:color="CCCCCC" w:sz="1"/>
            </w:tcBorders>
            <w:shd w:fill="AAAA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680"/>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Quick win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7</w:t>
            </w:r>
          </w:p>
        </w:tc>
      </w:tr>
      <w:tr>
        <w:tc>
          <w:tcPr>
            <w:tcW w:type="dxa" w:w="4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Course card grid uses letter-initial placeholders instead of cover images</w:t>
            </w:r>
          </w:p>
        </w:tc>
        <w:tc>
          <w:tcPr>
            <w:tcW w:type="dxa" w:w="1320"/>
            <w:tcBorders>
              <w:top w:val="single" w:color="CCCCCC" w:sz="1"/>
              <w:left w:val="single" w:color="CCCCCC" w:sz="1"/>
              <w:bottom w:val="single" w:color="CCCCCC" w:sz="1"/>
              <w:right w:val="single" w:color="CCCCCC" w:sz="1"/>
            </w:tcBorders>
            <w:shd w:fill="AAAA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680"/>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Quick win</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8</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Lesson sidebar becomes crowded with many lessons — no collapsible sections or search</w:t>
            </w:r>
          </w:p>
        </w:tc>
        <w:tc>
          <w:tcPr>
            <w:tcW w:type="dxa" w:w="1320"/>
            <w:tcBorders>
              <w:top w:val="single" w:color="CCCCCC" w:sz="1"/>
              <w:left w:val="single" w:color="CCCCCC" w:sz="1"/>
              <w:bottom w:val="single" w:color="CCCCCC" w:sz="1"/>
              <w:right w:val="single" w:color="CCCCCC" w:sz="1"/>
            </w:tcBorders>
            <w:shd w:fill="AAAAA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680"/>
            <w:tcBorders>
              <w:top w:val="single" w:color="CCCCCC" w:sz="1"/>
              <w:left w:val="single" w:color="CCCCCC" w:sz="1"/>
              <w:bottom w:val="single" w:color="CCCCCC" w:sz="1"/>
              <w:right w:val="single" w:color="CCCCCC" w:sz="1"/>
            </w:tcBorders>
            <w:shd w:fill="6BCB77"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Quick win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9</w:t>
            </w:r>
          </w:p>
        </w:tc>
      </w:tr>
    </w:tbl>
    <w:p>
      <w:r>
        <w:t xml:space="preserve"/>
      </w:r>
    </w:p>
    <w:p>
      <w:r>
        <w:br w:type="page"/>
      </w:r>
    </w:p>
    <w:p>
      <w:pPr>
        <w:pStyle w:val="Heading1"/>
      </w:pPr>
      <w:r>
        <w:rPr>
          <w:rFonts w:ascii="Arial" w:cs="Arial" w:eastAsia="Arial" w:hAnsi="Arial"/>
          <w:b/>
          <w:bCs/>
          <w:color w:val="2E4057"/>
          <w:sz w:val="32"/>
          <w:szCs w:val="32"/>
        </w:rPr>
        <w:t xml:space="preserve">Methodology</w:t>
      </w:r>
    </w:p>
    <w:p>
      <w:pPr>
        <w:pStyle w:val="Heading2"/>
      </w:pPr>
      <w:r>
        <w:rPr>
          <w:rFonts w:ascii="Arial" w:cs="Arial" w:eastAsia="Arial" w:hAnsi="Arial"/>
          <w:b/>
          <w:bCs/>
          <w:color w:val="2E4057"/>
          <w:sz w:val="28"/>
          <w:szCs w:val="28"/>
        </w:rPr>
        <w:t xml:space="preserve">How Each Tool Was Accessed</w:t>
      </w:r>
    </w:p>
    <w:p>
      <w:pPr>
        <w:spacing w:after="160"/>
      </w:pPr>
      <w:r>
        <w:rPr>
          <w:rFonts w:ascii="Arial" w:cs="Arial" w:eastAsia="Arial" w:hAnsi="Arial"/>
          <w:sz w:val="20"/>
          <w:szCs w:val="20"/>
        </w:rPr>
        <w:t xml:space="preserve">Research was conducted on 22 March 2026. TideLearn and Courseau were accessed directly (developer-owner access and free-tier signup respectively). Rise 360, Easygenerator, Elucidat, and Mindsmith were researched from marketing pages, help documentation, and G2/Capterra review aggregators. Sana was researched from marketing materials only — it is fully demo-gated with no self-serve access.</w:t>
      </w:r>
    </w:p>
    <w:p>
      <w:r>
        <w:t xml:space="preserve"/>
      </w:r>
    </w:p>
    <w:p>
      <w:pPr>
        <w:pStyle w:val="Heading2"/>
      </w:pPr>
      <w:r>
        <w:rPr>
          <w:rFonts w:ascii="Arial" w:cs="Arial" w:eastAsia="Arial" w:hAnsi="Arial"/>
          <w:b/>
          <w:bCs/>
          <w:color w:val="2E4057"/>
          <w:sz w:val="28"/>
          <w:szCs w:val="28"/>
        </w:rPr>
        <w:t xml:space="preserve">Evidence Source Distribution</w:t>
      </w:r>
    </w:p>
    <w:p>
      <w:pPr>
        <w:pStyle w:val="ListParagraph"/>
        <w:numPr>
          <w:ilvl w:val="0"/>
          <w:numId w:val="2"/>
        </w:numPr>
      </w:pPr>
      <w:r>
        <w:rPr>
          <w:rFonts w:ascii="Arial" w:cs="Arial" w:eastAsia="Arial" w:hAnsi="Arial"/>
          <w:sz w:val="20"/>
          <w:szCs w:val="20"/>
        </w:rPr>
        <w:t xml:space="preserve">TideLearn: Direct access (developer-owner) — full confidence across all dimensions</w:t>
      </w:r>
    </w:p>
    <w:p>
      <w:pPr>
        <w:pStyle w:val="ListParagraph"/>
        <w:numPr>
          <w:ilvl w:val="0"/>
          <w:numId w:val="2"/>
        </w:numPr>
      </w:pPr>
      <w:r>
        <w:rPr>
          <w:rFonts w:ascii="Arial" w:cs="Arial" w:eastAsia="Arial" w:hAnsi="Arial"/>
          <w:sz w:val="20"/>
          <w:szCs w:val="20"/>
        </w:rPr>
        <w:t xml:space="preserve">Courseau: Partial direct access (free-tier sign-up achieved; editor screenshots failed; learner view not captured directly)</w:t>
      </w:r>
    </w:p>
    <w:p>
      <w:pPr>
        <w:pStyle w:val="ListParagraph"/>
        <w:numPr>
          <w:ilvl w:val="0"/>
          <w:numId w:val="2"/>
        </w:numPr>
      </w:pPr>
      <w:r>
        <w:rPr>
          <w:rFonts w:ascii="Arial" w:cs="Arial" w:eastAsia="Arial" w:hAnsi="Arial"/>
          <w:sz w:val="20"/>
          <w:szCs w:val="20"/>
        </w:rPr>
        <w:t xml:space="preserve">Rise 360: Marketing, help documentation, G2/Capterra reviews — 30-day trial not activated</w:t>
      </w:r>
    </w:p>
    <w:p>
      <w:pPr>
        <w:pStyle w:val="ListParagraph"/>
        <w:numPr>
          <w:ilvl w:val="0"/>
          <w:numId w:val="2"/>
        </w:numPr>
      </w:pPr>
      <w:r>
        <w:rPr>
          <w:rFonts w:ascii="Arial" w:cs="Arial" w:eastAsia="Arial" w:hAnsi="Arial"/>
          <w:sz w:val="20"/>
          <w:szCs w:val="20"/>
        </w:rPr>
        <w:t xml:space="preserve">Easygenerator: Marketing, help documentation, G2/Capterra reviews — 14-day trial not activated</w:t>
      </w:r>
    </w:p>
    <w:p>
      <w:pPr>
        <w:pStyle w:val="ListParagraph"/>
        <w:numPr>
          <w:ilvl w:val="0"/>
          <w:numId w:val="2"/>
        </w:numPr>
      </w:pPr>
      <w:r>
        <w:rPr>
          <w:rFonts w:ascii="Arial" w:cs="Arial" w:eastAsia="Arial" w:hAnsi="Arial"/>
          <w:sz w:val="20"/>
          <w:szCs w:val="20"/>
        </w:rPr>
        <w:t xml:space="preserve">Elucidat: Marketing, help documentation, G2 reviews, REST API documentation — demo-gated; no direct access</w:t>
      </w:r>
    </w:p>
    <w:p>
      <w:pPr>
        <w:pStyle w:val="ListParagraph"/>
        <w:numPr>
          <w:ilvl w:val="0"/>
          <w:numId w:val="2"/>
        </w:numPr>
      </w:pPr>
      <w:r>
        <w:rPr>
          <w:rFonts w:ascii="Arial" w:cs="Arial" w:eastAsia="Arial" w:hAnsi="Arial"/>
          <w:sz w:val="20"/>
          <w:szCs w:val="20"/>
        </w:rPr>
        <w:t xml:space="preserve">Mindsmith: Marketing, help documentation — free tier exists but app.mindsmith.ai redirected to sign-in during audit; screenshots returned black captures</w:t>
      </w:r>
    </w:p>
    <w:p>
      <w:pPr>
        <w:pStyle w:val="ListParagraph"/>
        <w:numPr>
          <w:ilvl w:val="0"/>
          <w:numId w:val="2"/>
        </w:numPr>
      </w:pPr>
      <w:r>
        <w:rPr>
          <w:rFonts w:ascii="Arial" w:cs="Arial" w:eastAsia="Arial" w:hAnsi="Arial"/>
          <w:sz w:val="20"/>
          <w:szCs w:val="20"/>
        </w:rPr>
        <w:t xml:space="preserve">Sana: Marketing materials only — fully demo-gated</w:t>
      </w:r>
    </w:p>
    <w:p>
      <w:r>
        <w:t xml:space="preserve"/>
      </w:r>
    </w:p>
    <w:p>
      <w:pPr>
        <w:pStyle w:val="Heading2"/>
      </w:pPr>
      <w:r>
        <w:rPr>
          <w:rFonts w:ascii="Arial" w:cs="Arial" w:eastAsia="Arial" w:hAnsi="Arial"/>
          <w:b/>
          <w:bCs/>
          <w:color w:val="2E4057"/>
          <w:sz w:val="28"/>
          <w:szCs w:val="28"/>
        </w:rPr>
        <w:t xml:space="preserve">Scoring Scale</w:t>
      </w:r>
    </w:p>
    <w:p>
      <w:pPr>
        <w:spacing w:after="160"/>
      </w:pPr>
      <w:r>
        <w:rPr>
          <w:rFonts w:ascii="Arial" w:cs="Arial" w:eastAsia="Arial" w:hAnsi="Arial"/>
          <w:sz w:val="20"/>
          <w:szCs w:val="20"/>
        </w:rPr>
        <w:t xml:space="preserve">1 = Critically weak or absent. 2 = Below market expectations. 3 = Functional and competitive at baseline. 4 = Strong, at or near market standard. 5 = Best-in-class or category-defining.</w:t>
      </w:r>
    </w:p>
    <w:p>
      <w:r>
        <w:t xml:space="preserve"/>
      </w:r>
    </w:p>
    <w:p>
      <w:pPr>
        <w:pStyle w:val="Heading2"/>
      </w:pPr>
      <w:r>
        <w:rPr>
          <w:rFonts w:ascii="Arial" w:cs="Arial" w:eastAsia="Arial" w:hAnsi="Arial"/>
          <w:b/>
          <w:bCs/>
          <w:color w:val="2E4057"/>
          <w:sz w:val="28"/>
          <w:szCs w:val="28"/>
        </w:rPr>
        <w:t xml:space="preserve">Limitations and Bias Acknowledgment</w:t>
      </w:r>
    </w:p>
    <w:p>
      <w:pPr>
        <w:pStyle w:val="ListParagraph"/>
        <w:numPr>
          <w:ilvl w:val="0"/>
          <w:numId w:val="2"/>
        </w:numPr>
      </w:pPr>
      <w:r>
        <w:rPr>
          <w:rFonts w:ascii="Arial" w:cs="Arial" w:eastAsia="Arial" w:hAnsi="Arial"/>
          <w:sz w:val="20"/>
          <w:szCs w:val="20"/>
        </w:rPr>
        <w:t xml:space="preserve">TideLearn is scored by its developer-owner, creating an inherent knowledge advantage. TideLearn's score reflects actual capability while competitor scores reflect marketed/documented capability. Competitors may have undocumented features that would raise their scores.</w:t>
      </w:r>
    </w:p>
    <w:p>
      <w:pPr>
        <w:pStyle w:val="ListParagraph"/>
        <w:numPr>
          <w:ilvl w:val="0"/>
          <w:numId w:val="2"/>
        </w:numPr>
      </w:pPr>
      <w:r>
        <w:rPr>
          <w:rFonts w:ascii="Arial" w:cs="Arial" w:eastAsia="Arial" w:hAnsi="Arial"/>
          <w:sz w:val="20"/>
          <w:szCs w:val="20"/>
        </w:rPr>
        <w:t xml:space="preserve">Marketing-sourced scores tend to reflect best-case product presentation. Features described in marketing may be plan-gated, partially implemented, or not yet shipped.</w:t>
      </w:r>
    </w:p>
    <w:p>
      <w:pPr>
        <w:pStyle w:val="ListParagraph"/>
        <w:numPr>
          <w:ilvl w:val="0"/>
          <w:numId w:val="2"/>
        </w:numPr>
      </w:pPr>
      <w:r>
        <w:rPr>
          <w:rFonts w:ascii="Arial" w:cs="Arial" w:eastAsia="Arial" w:hAnsi="Arial"/>
          <w:sz w:val="20"/>
          <w:szCs w:val="20"/>
        </w:rPr>
        <w:t xml:space="preserve">G2/Capterra review scores reflect user sentiment but are subject to selection bias (satisfied users over-represented) and recency issues (reviews may describe older product versions).</w:t>
      </w:r>
    </w:p>
    <w:p>
      <w:pPr>
        <w:pStyle w:val="ListParagraph"/>
        <w:numPr>
          <w:ilvl w:val="0"/>
          <w:numId w:val="2"/>
        </w:numPr>
      </w:pPr>
      <w:r>
        <w:rPr>
          <w:rFonts w:ascii="Arial" w:cs="Arial" w:eastAsia="Arial" w:hAnsi="Arial"/>
          <w:sz w:val="20"/>
          <w:szCs w:val="20"/>
        </w:rPr>
        <w:t xml:space="preserve">Block catalogue scores for Elucidat, Sana, and Courseau are particularly uncertain — these tools do not enumerate block types publicly, and scores may understate their actual capabilities.</w:t>
      </w:r>
    </w:p>
    <w:p>
      <w:pPr>
        <w:pStyle w:val="ListParagraph"/>
        <w:numPr>
          <w:ilvl w:val="0"/>
          <w:numId w:val="2"/>
        </w:numPr>
      </w:pPr>
      <w:r>
        <w:rPr>
          <w:rFonts w:ascii="Arial" w:cs="Arial" w:eastAsia="Arial" w:hAnsi="Arial"/>
          <w:sz w:val="20"/>
          <w:szCs w:val="20"/>
        </w:rPr>
        <w:t xml:space="preserve">AI feature scores for tools with in-app AI (Rise, Easygenerator, Sana, Mindsmith) reflect marketed capabilities; actual AI output quality was not tested.</w:t>
      </w:r>
    </w:p>
    <w:p>
      <w:pPr>
        <w:pStyle w:val="ListParagraph"/>
        <w:numPr>
          <w:ilvl w:val="0"/>
          <w:numId w:val="2"/>
        </w:numPr>
      </w:pPr>
      <w:r>
        <w:rPr>
          <w:rFonts w:ascii="Arial" w:cs="Arial" w:eastAsia="Arial" w:hAnsi="Arial"/>
          <w:sz w:val="20"/>
          <w:szCs w:val="20"/>
        </w:rPr>
        <w:t xml:space="preserve">Journey step counts for Sana are estimated rather than measured due to complete lack of product access.</w:t>
      </w:r>
    </w:p>
    <w:p>
      <w:r>
        <w:t xml:space="preserve"/>
      </w:r>
    </w:p>
    <w:p>
      <w:pPr>
        <w:spacing w:before="400"/>
      </w:pPr>
      <w:r>
        <w:rPr>
          <w:rFonts w:ascii="Arial" w:cs="Arial" w:eastAsia="Arial" w:hAnsi="Arial"/>
          <w:i/>
          <w:iCs/>
          <w:color w:val="888888"/>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pPr>
    <w:r>
      <w:rPr>
        <w:rFonts w:ascii="Arial" w:cs="Arial" w:eastAsia="Arial" w:hAnsi="Arial"/>
        <w:color w:val="888888"/>
        <w:sz w:val="16"/>
        <w:szCs w:val="16"/>
      </w:rPr>
      <w:t xml:space="preserve">TideLearn — Comparative UI Analysis — March 2026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8A9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2026-03-23T18:50:23.441Z</dcterms:created>
  <dcterms:modified xsi:type="dcterms:W3CDTF">2026-03-23T18:50:23.443Z</dcterms:modified>
</cp:coreProperties>
</file>

<file path=docProps/custom.xml><?xml version="1.0" encoding="utf-8"?>
<Properties xmlns="http://schemas.openxmlformats.org/officeDocument/2006/custom-properties" xmlns:vt="http://schemas.openxmlformats.org/officeDocument/2006/docPropsVTypes"/>
</file>