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f8404aaf9ac48c6"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220</w:t>
      </w:r>
      <w:r>
        <w:br/>
      </w:r>
    </w:p>
    <w:p>
      <w:pPr>
        <w:pStyle w:val="linksbündig"/>
      </w:pPr>
      <w:r>
        <w:rPr>
          <w:sz w:val="32"/>
          <w:b w:val="true"/>
        </w:rPr>
        <w:t>100</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220, 18</w:t>
      </w:r>
    </w:p>
    <w:p>
      <w:pPr>
        <w:pStyle w:val="stumpf"/>
      </w:pPr>
      <w:r>
        <w:rPr/>
        <w:t xml:space="preserve">GeEhrtester Freund, </w:t>
      </w:r>
    </w:p>
    <w:p>
      <w:pPr>
        <w:pStyle w:val="stumpf"/>
      </w:pPr>
      <w:r>
        <w:rPr/>
        <w:t xml:space="preserve">Ich bin eben mit dem </w:t>
      </w:r>
      <w:r>
        <w:rPr>
          <w:rFonts w:ascii="Linux Biolinum" w:hAnsi="Linux Biolinum" w:cs="Linux Biolinum"/>
        </w:rPr>
        <w:t xml:space="preserve">Prideaux</w:t>
      </w:r>
      <w:r>
        <w:rPr/>
        <w:t xml:space="preserve"> fertig geworden, den ich nebst den beiden </w:t>
      </w:r>
    </w:p>
    <w:p>
      <w:pPr>
        <w:framePr w:w="1000" w:hSpace="420" w:wrap="around" w:hAnchor="page" w:vAnchor="text" w:xAlign="left" w:y="0"/>
        <w:keepNext w:val="true"/>
        <w:pStyle w:val="zeilenzählung"/>
      </w:pPr>
      <w:r>
        <w:rPr>
          <w:sz w:val="12"/>
        </w:rPr>
        <w:t>20</w:t>
      </w:r>
    </w:p>
    <w:p>
      <w:pPr>
        <w:pStyle w:val="stumpf"/>
      </w:pPr>
      <w:r>
        <w:rPr/>
        <w:t xml:space="preserve">römischen Dichtern mit der grösten Erkenntlichkeit an Dero geEhrtesten </w:t>
      </w:r>
      <w:r>
        <w:rPr>
          <w:rFonts w:ascii="Linux Biolinum" w:hAnsi="Linux Biolinum" w:cs="Linux Biolinum"/>
        </w:rPr>
        <w:t xml:space="preserve">Papa</w:t>
      </w:r>
      <w:r>
        <w:rPr/>
        <w:t xml:space="preserve"> </w:t>
      </w:r>
    </w:p>
    <w:p>
      <w:pPr>
        <w:pStyle w:val="stumpf"/>
      </w:pPr>
      <w:r>
        <w:rPr/>
        <w:t xml:space="preserve">besonders zurückschicke, zu deßen Genesung ich Hofnung mit Wünschen </w:t>
      </w:r>
    </w:p>
    <w:p>
      <w:pPr>
        <w:pStyle w:val="stumpf"/>
      </w:pPr>
      <w:r>
        <w:rPr/>
        <w:t xml:space="preserve">verbinde. Wenn es mögl. ist: so werde Sie von neuen beschweren den </w:t>
      </w:r>
    </w:p>
    <w:p>
      <w:pPr>
        <w:pStyle w:val="stumpf"/>
      </w:pPr>
      <w:r>
        <w:rPr/>
        <w:t xml:space="preserve">Schuckford sich für mich auszubitten unter der Bedingung ihn bald wiederzugeben. Soll </w:t>
      </w:r>
    </w:p>
    <w:p>
      <w:pPr>
        <w:pStyle w:val="stumpf"/>
      </w:pPr>
      <w:r>
        <w:rPr/>
        <w:t xml:space="preserve">ich Sie heute nicht GeEhrtester Freund, bey mir erwarten? ich ersuche Sie </w:t>
      </w:r>
    </w:p>
    <w:p>
      <w:pPr>
        <w:framePr w:w="1000" w:hSpace="420" w:wrap="around" w:hAnchor="page" w:vAnchor="text" w:xAlign="left" w:y="0"/>
        <w:keepNext w:val="true"/>
        <w:pStyle w:val="zeilenzählung"/>
      </w:pPr>
      <w:r>
        <w:rPr>
          <w:sz w:val="12"/>
        </w:rPr>
        <w:t>25</w:t>
      </w:r>
    </w:p>
    <w:p>
      <w:pPr>
        <w:pStyle w:val="stumpf"/>
      </w:pPr>
      <w:r>
        <w:rPr/>
        <w:t xml:space="preserve">darum v bin nach ergebenstem Gruß v. Vermeldung eines guten Morgens </w:t>
      </w:r>
    </w:p>
    <w:p>
      <w:pPr>
        <w:pStyle w:val="stumpf"/>
      </w:pPr>
      <w:r>
        <w:rPr/>
        <w:t xml:space="preserve">Ihr ergebenster Fr. v Diener </w:t>
      </w:r>
    </w:p>
    <w:p>
      <w:pPr>
        <w:pStyle w:val="rechtsbündig"/>
      </w:pPr>
      <w:r>
        <w:rPr/>
        <w:t xml:space="preserve">Hamann.</w:t>
      </w:r>
      <w:r>
        <w:rPr/>
        <w:t xml:space="preserve"> </w:t>
      </w:r>
    </w:p>
    <w:p>
      <w:pPr>
        <w:pStyle w:val="stumpf"/>
      </w:pPr>
      <w:r>
        <w:rPr/>
        <w:t xml:space="preserve"> </w:t>
      </w:r>
    </w:p>
    <w:p>
      <w:pPr>
        <w:pStyle w:val="stumpf"/>
      </w:pPr>
      <w:r>
        <w:rPr/>
        <w:t xml:space="preserve">Klein Friedrichshoff gehört zum Pfarrdienst v hat also noch se. alten </w:t>
      </w:r>
    </w:p>
    <w:p>
      <w:pPr>
        <w:pStyle w:val="stumpf"/>
      </w:pPr>
      <w:r>
        <w:rPr/>
        <w:t xml:space="preserve">Besitzer. Ich thue Wiederruff.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220, Nr. 100.</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220/19</w:t>
      </w:r>
      <w:r>
        <w:rPr/>
        <w:t xml:space="preserve"> </w:t>
      </w:r>
      <w:r>
        <w:rPr/>
        <w:t xml:space="preserve">Prideaux, </w:t>
      </w:r>
      <w:r>
        <w:rPr>
          <w:i w:val="true"/>
        </w:rPr>
        <w:t xml:space="preserve">The old and New Testament connected</w:t>
      </w:r>
      <w:r>
        <w:rPr/>
      </w:r>
      <w:r>
        <w:rPr/>
        <w:t xml:space="preserve"> </w:t>
      </w:r>
    </w:p>
    <w:p>
      <w:pPr>
        <w:pStyle w:val="kommentar"/>
      </w:pPr>
      <w:r>
        <w:rPr>
          <w:b w:val="true"/>
          <w:sz w:val="16"/>
        </w:rPr>
        <w:t xml:space="preserve">220/23</w:t>
      </w:r>
      <w:r>
        <w:rPr/>
        <w:t xml:space="preserve"> </w:t>
      </w:r>
      <w:r>
        <w:rPr/>
        <w:t xml:space="preserve">Shuckford, </w:t>
      </w:r>
      <w:r>
        <w:rPr>
          <w:i w:val="true"/>
        </w:rPr>
        <w:t xml:space="preserve">The Sacred and Profane History</w:t>
      </w:r>
      <w:r>
        <w:rPr/>
      </w:r>
      <w:r>
        <w:rPr/>
        <w:t xml:space="preserve">; H. nennt gegenüber J. G. Lindner den Titel schon </w:t>
      </w:r>
      <w:r>
        <w:t>HKB 72 (I  182/23)</w:t>
      </w:r>
      <w:r>
        <w:rPr/>
      </w:r>
      <w:r>
        <w:rPr/>
        <w:t xml:space="preserve">, April 1756. </w:t>
      </w:r>
    </w:p>
    <w:p>
      <w:pPr>
        <w:pStyle w:val="kommentar"/>
        <w:sectPr>
          <w:pgMar w:top="1416" w:right="1900" w:bottom="2132" w:left="1984" w:footer="1417"/>
          <w:cols w:equalWidth="true" w:space="560" w:num="2"/>
          <w:type w:val="continuous"/>
        </w:sectPr>
      </w:pPr>
      <w:r>
        <w:rPr>
          <w:b w:val="true"/>
          <w:sz w:val="16"/>
        </w:rPr>
        <w:t xml:space="preserve">220/28</w:t>
      </w:r>
      <w:r>
        <w:rPr/>
        <w:t xml:space="preserve"> </w:t>
      </w:r>
      <w:r>
        <w:rPr>
          <w:rFonts w:ascii="Linux Libertine G" w:hAnsi="Linux Libertine G" w:cs="Linux Libertine G"/>
        </w:rPr>
        <w:t xml:space="preserve">Klein Friedrichshoff</w:t>
        <w:t>]</w:t>
      </w:r>
      <w:r>
        <w:rPr/>
        <w:t xml:space="preserve"> vll. heute: Kosobudy im Norden Polens (53°52′30″N 17°45′27″E)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100 (I 220)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8f378ebf1534fb1" /><Relationship Type="http://schemas.openxmlformats.org/officeDocument/2006/relationships/footer" Target="/word/footer1.xml" Id="default" /></Relationships>
</file>