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1babb60d59423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249‒250</w:t>
      </w:r>
      <w:r>
        <w:br/>
      </w:r>
    </w:p>
    <w:p>
      <w:pPr>
        <w:pStyle w:val="linksbündig"/>
      </w:pPr>
      <w:r>
        <w:rPr>
          <w:sz w:val="32"/>
          <w:b w:val="true"/>
        </w:rPr>
        <w:t>114</w:t>
      </w:r>
    </w:p>
    <w:p>
      <w:pPr>
        <w:pStyle w:val="linksbündig"/>
      </w:pPr>
      <w:r>
        <w:rPr>
          <w:b w:val="true"/>
        </w:rPr>
        <w:t>Riga, 15. September 1758</w:t>
      </w:r>
      <w:r>
        <w:br/>
      </w:r>
      <w:r>
        <w:rPr>
          <w:b w:val="true"/>
        </w:rPr>
        <w:t>Johann Georg Hamann → Joseph Johann Baron von Witten</w:t>
      </w:r>
      <w:r>
        <w:br/>
      </w:r>
      <w:r>
        <w:rPr/>
        <w:t xml:space="preserve"> </w:t>
      </w:r>
      <w:r>
        <w:rPr/>
        <w:t xml:space="preserve"> </w:t>
      </w:r>
    </w:p>
    <w:p>
      <w:pPr>
        <w:framePr w:w="1000" w:hSpace="420" w:wrap="around" w:hAnchor="page" w:vAnchor="text" w:xAlign="left" w:y="0"/>
        <w:keepNext w:val="true"/>
        <w:pStyle w:val="zeilenzählung"/>
      </w:pPr>
      <w:r>
        <w:rPr>
          <w:sz w:val="12"/>
        </w:rPr>
        <w:t>S. 249, 23</w:t>
      </w:r>
    </w:p>
    <w:p>
      <w:pPr>
        <w:pStyle w:val="stumpf"/>
      </w:pPr>
      <w:r>
        <w:rPr/>
        <w:t xml:space="preserve">Mein lieber Baron, </w:t>
      </w:r>
    </w:p>
    <w:p>
      <w:pPr>
        <w:pStyle w:val="stumpf"/>
      </w:pPr>
      <w:r>
        <w:rPr/>
        <w:t xml:space="preserve">Fahren Sie fort in Ihrer Denkungsart; und laßen Sie sich zum voraus zu </w:t>
      </w:r>
    </w:p>
    <w:p>
      <w:pPr>
        <w:framePr w:w="1000" w:hSpace="420" w:wrap="around" w:hAnchor="page" w:vAnchor="text" w:xAlign="left" w:y="0"/>
        <w:keepNext w:val="true"/>
        <w:pStyle w:val="zeilenzählung"/>
      </w:pPr>
      <w:r>
        <w:rPr>
          <w:sz w:val="12"/>
        </w:rPr>
        <w:t>25</w:t>
      </w:r>
    </w:p>
    <w:p>
      <w:pPr>
        <w:pStyle w:val="stumpf"/>
      </w:pPr>
      <w:r>
        <w:rPr/>
        <w:t xml:space="preserve">Ihrem künfftigen Wachsthum Glück wünschen. Ein ehrlicher Mann sey Ihnen </w:t>
      </w:r>
    </w:p>
    <w:p>
      <w:pPr>
        <w:pStyle w:val="stumpf"/>
      </w:pPr>
      <w:r>
        <w:rPr/>
        <w:t xml:space="preserve">immer schätzbar! Hören Sie ihn gern, so rauh auch seine Stimme, so </w:t>
      </w:r>
    </w:p>
    <w:p>
      <w:pPr>
        <w:pStyle w:val="stumpf"/>
      </w:pPr>
      <w:r>
        <w:rPr/>
        <w:t xml:space="preserve">gerädert auch seine Aussprache seyn mag. Der Nutzen, den Sie von seiner </w:t>
      </w:r>
    </w:p>
    <w:p>
      <w:pPr>
        <w:pStyle w:val="stumpf"/>
      </w:pPr>
      <w:r>
        <w:rPr/>
        <w:t xml:space="preserve">Rechtschaffenheit ziehen können, ist ganz der Ihrige. Wer Schmeichler zu entbehren </w:t>
      </w:r>
    </w:p>
    <w:p>
      <w:pPr>
        <w:pStyle w:val="stumpf"/>
      </w:pPr>
      <w:r>
        <w:rPr/>
        <w:t xml:space="preserve">weiß, ist werth Freunde zu haben. Ein einziger überwiegt die Schätze Indiens. </w:t>
      </w:r>
    </w:p>
    <w:p>
      <w:pPr>
        <w:framePr w:w="1000" w:hSpace="420" w:wrap="around" w:hAnchor="page" w:vAnchor="text" w:xAlign="left" w:y="0"/>
        <w:keepNext w:val="true"/>
        <w:pStyle w:val="zeilenzählung"/>
      </w:pPr>
      <w:r>
        <w:rPr>
          <w:sz w:val="12"/>
        </w:rPr>
        <w:t>30</w:t>
      </w:r>
    </w:p>
    <w:p>
      <w:pPr>
        <w:pStyle w:val="einzug"/>
      </w:pPr>
      <w:r>
        <w:rPr/>
        <w:t xml:space="preserve">„Wo liegt Indien?“ Wird Ihnen der Herr Hofmeister fragen. Sagen Sie </w:t>
      </w:r>
    </w:p>
    <w:p>
      <w:pPr>
        <w:pStyle w:val="stumpf"/>
      </w:pPr>
      <w:r>
        <w:rPr/>
        <w:t xml:space="preserve">nur auf meine Verantwortung: </w:t>
      </w:r>
    </w:p>
    <w:p>
      <w:pPr>
        <w:pStyle w:val="vierfacheinzug"/>
      </w:pPr>
      <w:r>
        <w:rPr/>
        <w:t xml:space="preserve">„In der alten und neuen Welt.“ </w:t>
      </w:r>
    </w:p>
    <w:p>
      <w:pPr>
        <w:pStyle w:val="stumpf"/>
      </w:pPr>
      <w:r>
        <w:rPr/>
        <w:t xml:space="preserve">Der Herr Bruder traut mir entweder viel Faulheit oder seinen fähigen </w:t>
      </w:r>
    </w:p>
    <w:p>
      <w:pPr>
        <w:pStyle w:val="stumpf"/>
      </w:pPr>
      <w:r>
        <w:rPr/>
        <w:t xml:space="preserve">Kopf zu; daß er mir schon wieder vorschlägt bald zu Ihnen zu kommen. Ich </w:t>
      </w:r>
    </w:p>
    <w:p>
      <w:pPr>
        <w:framePr w:w="1000" w:hSpace="420" w:wrap="around" w:hAnchor="page" w:vAnchor="text" w:xAlign="left" w:y="0"/>
        <w:keepNext w:val="true"/>
        <w:pStyle w:val="seitenzählung"/>
      </w:pPr>
      <w:r>
        <w:rPr>
          <w:sz w:val="12"/>
          <w:b w:val="true"/>
        </w:rPr>
        <w:t>S. 250</w:t>
      </w:r>
      <w:r>
        <w:rPr/>
        <w:t xml:space="preserve"> </w:t>
      </w:r>
    </w:p>
    <w:p>
      <w:pPr>
        <w:pStyle w:val="stumpf"/>
      </w:pPr>
      <w:r>
        <w:rPr/>
        <w:t xml:space="preserve">denke jetzt mit Gottes Hülfe recht fleißig zu seyn; und Sie würden eben so </w:t>
      </w:r>
    </w:p>
    <w:p>
      <w:pPr>
        <w:pStyle w:val="stumpf"/>
      </w:pPr>
      <w:r>
        <w:rPr/>
        <w:t xml:space="preserve">verdrüslich </w:t>
      </w:r>
      <w:r>
        <w:rPr>
          <w:strike w:val="true"/>
        </w:rPr>
        <w:t xml:space="preserve">seyn</w:t>
      </w:r>
      <w:r>
        <w:rPr/>
        <w:t xml:space="preserve"> aussehen in Ihrem Eyfer auf das Latein und die Historie </w:t>
      </w:r>
    </w:p>
    <w:p>
      <w:pPr>
        <w:pStyle w:val="stumpf"/>
      </w:pPr>
      <w:r>
        <w:rPr/>
        <w:t xml:space="preserve">gestört zu werden. Unsere Abrede, mein lieber Herr Baron, war uns nicht </w:t>
      </w:r>
    </w:p>
    <w:p>
      <w:pPr>
        <w:pStyle w:val="stumpf"/>
      </w:pPr>
      <w:r>
        <w:rPr/>
        <w:t xml:space="preserve">einander eher zu sehen, biß wir beyde einige Prüfetage ohne wechselsweiser </w:t>
      </w:r>
    </w:p>
    <w:p>
      <w:pPr>
        <w:framePr w:w="1000" w:hSpace="420" w:wrap="around" w:hAnchor="page" w:vAnchor="text" w:xAlign="left" w:y="0"/>
        <w:keepNext w:val="true"/>
        <w:pStyle w:val="zeilenzählung"/>
      </w:pPr>
      <w:r>
        <w:rPr>
          <w:sz w:val="12"/>
        </w:rPr>
        <w:t>5</w:t>
      </w:r>
    </w:p>
    <w:p>
      <w:pPr>
        <w:pStyle w:val="stumpf"/>
      </w:pPr>
      <w:r>
        <w:rPr/>
        <w:t xml:space="preserve">Furcht und Schaam auszuhalten im stande sind. Ich traue Ihrem Wort </w:t>
      </w:r>
    </w:p>
    <w:p>
      <w:pPr>
        <w:pStyle w:val="stumpf"/>
      </w:pPr>
      <w:r>
        <w:rPr/>
        <w:t xml:space="preserve">ohne eine Handschrifft darüber zu fordern. </w:t>
      </w:r>
    </w:p>
    <w:p>
      <w:pPr>
        <w:pStyle w:val="einzug"/>
      </w:pPr>
      <w:r>
        <w:rPr/>
        <w:t xml:space="preserve">Ich Endesunterschriebener – – – – – Unter uns! </w:t>
      </w:r>
      <w:r>
        <w:rPr>
          <w:rFonts w:ascii="Linux Biolinum" w:hAnsi="Linux Biolinum" w:cs="Linux Biolinum"/>
        </w:rPr>
        <w:t xml:space="preserve">sub rosa</w:t>
      </w:r>
      <w:r>
        <w:rPr/>
        <w:t xml:space="preserve"> – Dies würde </w:t>
      </w:r>
    </w:p>
    <w:p>
      <w:pPr>
        <w:pStyle w:val="stumpf"/>
      </w:pPr>
      <w:r>
        <w:rPr/>
        <w:t xml:space="preserve">eben so poßierlich klingen, als es in das Gesicht fällt ohne Augenmaas eine </w:t>
      </w:r>
    </w:p>
    <w:p>
      <w:pPr>
        <w:pStyle w:val="stumpf"/>
      </w:pPr>
      <w:r>
        <w:rPr/>
        <w:t xml:space="preserve">Seite im Briefe einige Zeilen höher </w:t>
      </w:r>
      <w:r>
        <w:rPr>
          <w:strike w:val="true"/>
        </w:rPr>
        <w:t xml:space="preserve">und</w:t>
      </w:r>
      <w:r>
        <w:rPr/>
        <w:t xml:space="preserve"> oder tiefer als die </w:t>
      </w:r>
    </w:p>
    <w:p>
      <w:pPr>
        <w:framePr w:w="1000" w:hSpace="420" w:wrap="around" w:hAnchor="page" w:vAnchor="text" w:xAlign="left" w:y="0"/>
        <w:keepNext w:val="true"/>
        <w:pStyle w:val="zeilenzählung"/>
      </w:pPr>
      <w:r>
        <w:rPr>
          <w:sz w:val="12"/>
        </w:rPr>
        <w:t>10</w:t>
      </w:r>
    </w:p>
    <w:p>
      <w:pPr>
        <w:pStyle w:val="stumpf"/>
      </w:pPr>
      <w:r>
        <w:rPr/>
        <w:t xml:space="preserve">gegenüberstehende anzufangen. </w:t>
      </w:r>
    </w:p>
    <w:p>
      <w:pPr>
        <w:pStyle w:val="einzug"/>
      </w:pPr>
      <w:r>
        <w:rPr/>
        <w:t xml:space="preserve">Ihr Brief, mein kleiner Herr Baron, ist so ordentlich regelmäßig und rein </w:t>
      </w:r>
    </w:p>
    <w:p>
      <w:pPr>
        <w:pStyle w:val="stumpf"/>
      </w:pPr>
      <w:r>
        <w:rPr/>
        <w:t xml:space="preserve">geschrieben, daß ich mich schäme meinen eigenen dagegen zu halten. Ich </w:t>
      </w:r>
    </w:p>
    <w:p>
      <w:pPr>
        <w:pStyle w:val="stumpf"/>
      </w:pPr>
      <w:r>
        <w:rPr/>
        <w:t xml:space="preserve">schreibe mit meinen dunkeln Augen bey Licht, und zwar noch ohne Brille, </w:t>
      </w:r>
    </w:p>
    <w:p>
      <w:pPr>
        <w:pStyle w:val="stumpf"/>
      </w:pPr>
      <w:r>
        <w:rPr/>
        <w:t xml:space="preserve">weil ich mir durch ihren Druck nicht meinen Sinn des Geruchs schwächen will. </w:t>
      </w:r>
    </w:p>
    <w:p>
      <w:pPr>
        <w:framePr w:w="1000" w:hSpace="420" w:wrap="around" w:hAnchor="page" w:vAnchor="text" w:xAlign="left" w:y="0"/>
        <w:keepNext w:val="true"/>
        <w:pStyle w:val="zeilenzählung"/>
      </w:pPr>
      <w:r>
        <w:rPr>
          <w:sz w:val="12"/>
        </w:rPr>
        <w:t>15</w:t>
      </w:r>
    </w:p>
    <w:p>
      <w:pPr>
        <w:pStyle w:val="stumpf"/>
      </w:pPr>
      <w:r>
        <w:rPr/>
        <w:t xml:space="preserve">Wie würde ich dies gegen die Blumen und den Wein verantworten können? </w:t>
      </w:r>
    </w:p>
    <w:p>
      <w:pPr>
        <w:pStyle w:val="einzug"/>
      </w:pPr>
      <w:r>
        <w:rPr/>
        <w:t xml:space="preserve">Vermelden Sie meinen unterthänigsten </w:t>
      </w:r>
      <w:r>
        <w:rPr>
          <w:rFonts w:ascii="Linux Biolinum" w:hAnsi="Linux Biolinum" w:cs="Linux Biolinum"/>
        </w:rPr>
        <w:t xml:space="preserve">Respect</w:t>
      </w:r>
      <w:r>
        <w:rPr/>
        <w:t xml:space="preserve"> an der Gnädigen Frau </w:t>
      </w:r>
    </w:p>
    <w:p>
      <w:pPr>
        <w:pStyle w:val="stumpf"/>
      </w:pPr>
      <w:r>
        <w:rPr/>
        <w:t xml:space="preserve">ReichsGräfin und des Herrn </w:t>
      </w:r>
      <w:r>
        <w:rPr>
          <w:rFonts w:ascii="Linux Biolinum" w:hAnsi="Linux Biolinum" w:cs="Linux Biolinum"/>
        </w:rPr>
        <w:t xml:space="preserve">General</w:t>
      </w:r>
      <w:r>
        <w:rPr/>
        <w:t xml:space="preserve">en</w:t>
      </w:r>
      <w:r>
        <w:rPr/>
        <w:t xml:space="preserve"> </w:t>
      </w:r>
      <w:r>
        <w:rPr>
          <w:rFonts w:ascii="Linux Biolinum" w:hAnsi="Linux Biolinum" w:cs="Linux Biolinum"/>
        </w:rPr>
        <w:t xml:space="preserve">Excell. Excell.</w:t>
      </w:r>
      <w:r>
        <w:rPr/>
        <w:t xml:space="preserve"> und sagen Sie die </w:t>
      </w:r>
    </w:p>
    <w:p>
      <w:pPr>
        <w:pStyle w:val="stumpf"/>
      </w:pPr>
      <w:r>
        <w:rPr/>
        <w:t xml:space="preserve">verbindlichste Grüße der Fräulein Schwester wie auch Ihrem kleinen </w:t>
      </w:r>
    </w:p>
    <w:p>
      <w:pPr>
        <w:pStyle w:val="stumpf"/>
      </w:pPr>
      <w:r>
        <w:rPr>
          <w:rFonts w:ascii="Linux Biolinum" w:hAnsi="Linux Biolinum" w:cs="Linux Biolinum"/>
        </w:rPr>
        <w:t xml:space="preserve">Chevalier</w:t>
      </w:r>
      <w:r>
        <w:rPr/>
        <w:t xml:space="preserve"> in meinem Namen vor. Ich bin mit einer wahren Neigung Dero </w:t>
      </w:r>
    </w:p>
    <w:p>
      <w:pPr>
        <w:framePr w:w="1000" w:hSpace="420" w:wrap="around" w:hAnchor="page" w:vAnchor="text" w:xAlign="left" w:y="0"/>
        <w:keepNext w:val="true"/>
        <w:pStyle w:val="zeilenzählung"/>
      </w:pPr>
      <w:r>
        <w:rPr>
          <w:sz w:val="12"/>
        </w:rPr>
        <w:t>20</w:t>
      </w:r>
    </w:p>
    <w:p>
      <w:pPr>
        <w:pStyle w:val="stumpf"/>
      </w:pPr>
      <w:r>
        <w:rPr/>
        <w:t xml:space="preserve">ergebener Diener und Freund. </w:t>
      </w:r>
    </w:p>
    <w:p>
      <w:pPr>
        <w:pStyle w:val="einzug"/>
      </w:pPr>
      <w:r>
        <w:rPr/>
        <w:t xml:space="preserve">Riga den </w:t>
      </w:r>
      <w:r>
        <w:rPr/>
        <w:t xml:space="preserve">15. Sept: 1758.</w:t>
      </w:r>
    </w:p>
    <w:p>
      <w:pPr>
        <w:framePr w:hSpace="420" w:wrap="none" w:hAnchor="margin" w:vAnchor="text" w:xAlign="right" w:y="-280"/>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297f.</w:t>
      </w:r>
    </w:p>
    <w:p>
      <w:pPr>
        <w:pStyle w:val="stumpf"/>
      </w:pPr>
      <w:r>
        <w:rPr>
          <w:rFonts w:ascii="Linux Biolinum" w:hAnsi="Linux Biolinum" w:cs="Linux Biolinum"/>
        </w:rPr>
        <w:t xml:space="preserve">ZH I 249f., Nr. 114.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250/17 </w:t>
      </w:r>
      <w:r>
        <w:rPr>
          <w:rFonts w:ascii="Linux Biolinum" w:hAnsi="Linux Biolinum" w:cs="Linux Biolinum"/>
        </w:rPr>
        <w:t xml:space="preserve">General</w:t>
      </w:r>
      <w:r>
        <w:rPr/>
        <w:t xml:space="preserve">en</w:t>
      </w:r>
      <w:r>
        <w:t xml:space="preserve">] </w:t>
      </w:r>
      <w:r>
        <w:rPr/>
        <w:t xml:space="preserve">Geändert nach Druckbogen 1940; ZH: </w:t>
      </w:r>
      <w:r>
        <w:rPr>
          <w:rFonts w:ascii="Linux Biolinum" w:hAnsi="Linux Biolinum" w:cs="Linux Biolinum"/>
        </w:rPr>
        <w:t xml:space="preserve">Generalen</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249/23</w:t>
      </w:r>
      <w:r>
        <w:rPr/>
        <w:t xml:space="preserve"> </w:t>
      </w:r>
      <w:r>
        <w:rPr/>
        <w:t xml:space="preserve">Joseph Johann Baron v. Witten</w:t>
      </w:r>
      <w:r>
        <w:rPr/>
      </w:r>
      <w:r>
        <w:rPr/>
        <w:t xml:space="preserve"> </w:t>
      </w:r>
    </w:p>
    <w:p>
      <w:pPr>
        <w:pStyle w:val="kommentar"/>
      </w:pPr>
      <w:r>
        <w:rPr>
          <w:b w:val="true"/>
          <w:sz w:val="16"/>
        </w:rPr>
        <w:t xml:space="preserve">249/33</w:t>
      </w:r>
      <w:r>
        <w:rPr/>
        <w:t xml:space="preserve"> </w:t>
      </w:r>
      <w:r>
        <w:rPr/>
        <w:t xml:space="preserve">Peter Christoph Baron v. Witten</w:t>
      </w:r>
      <w:r>
        <w:rPr/>
      </w:r>
      <w:r>
        <w:rPr/>
        <w:t xml:space="preserve"> </w:t>
      </w:r>
    </w:p>
    <w:p>
      <w:pPr>
        <w:pStyle w:val="kommentar"/>
      </w:pPr>
      <w:r>
        <w:rPr>
          <w:b w:val="true"/>
          <w:sz w:val="16"/>
        </w:rPr>
        <w:t xml:space="preserve">250/11</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250/17</w:t>
      </w:r>
      <w:r>
        <w:rPr/>
        <w:t xml:space="preserve"> </w:t>
      </w:r>
      <w:r>
        <w:rPr/>
        <w:t xml:space="preserve">Apollonia Baronin v. Witten</w:t>
      </w:r>
      <w:r>
        <w:rPr/>
      </w:r>
      <w:r>
        <w:rPr/>
        <w:t xml:space="preserve"> und </w:t>
      </w:r>
      <w:r>
        <w:rPr/>
        <w:t xml:space="preserve">Christopher Wilhelm Baron v. Witten</w:t>
      </w:r>
      <w:r>
        <w:rPr/>
      </w:r>
      <w:r>
        <w:rPr/>
        <w:t xml:space="preserve"> </w:t>
      </w:r>
    </w:p>
    <w:p>
      <w:pPr>
        <w:pStyle w:val="kommentar"/>
      </w:pPr>
      <w:r>
        <w:rPr>
          <w:b w:val="true"/>
          <w:sz w:val="16"/>
        </w:rPr>
        <w:t xml:space="preserve">250/18</w:t>
      </w:r>
      <w:r>
        <w:rPr/>
        <w:t xml:space="preserve"> </w:t>
      </w:r>
      <w:r>
        <w:rPr/>
        <w:t xml:space="preserve">Philippine Elisabeth v. Witten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250/19</w:t>
      </w:r>
      <w:r>
        <w:rPr/>
        <w:t xml:space="preserve"> </w:t>
      </w:r>
      <w:r>
        <w:rPr>
          <w:rFonts w:ascii="Linux Libertine G" w:hAnsi="Linux Libertine G" w:cs="Linux Libertine G"/>
        </w:rPr>
        <w:t xml:space="preserve">Chevalier</w:t>
        <w:t>]</w:t>
      </w:r>
      <w:r>
        <w:rPr/>
        <w:t xml:space="preserve"> der jüngste Bruder, </w:t>
      </w:r>
      <w:r>
        <w:rPr/>
        <w:t xml:space="preserve">Franz Gideon Wilhelm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114 (I 249‒250)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fd879bc8cd344c3" /><Relationship Type="http://schemas.openxmlformats.org/officeDocument/2006/relationships/footer" Target="/word/footer1.xml" Id="default" /></Relationships>
</file>