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93477e24327468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260‒262</w:t>
      </w:r>
      <w:r>
        <w:br/>
      </w:r>
    </w:p>
    <w:p>
      <w:pPr>
        <w:pStyle w:val="linksbündig"/>
      </w:pPr>
      <w:r>
        <w:rPr>
          <w:sz w:val="32"/>
          <w:b w:val="true"/>
        </w:rPr>
        <w:t>120</w:t>
      </w:r>
    </w:p>
    <w:p>
      <w:pPr>
        <w:pStyle w:val="linksbündig"/>
      </w:pPr>
      <w:r>
        <w:rPr>
          <w:b w:val="true"/>
        </w:rPr>
        <w:t>Riga, 4. Oktober 1758</w:t>
      </w:r>
      <w:r>
        <w:br/>
      </w:r>
      <w:r>
        <w:rPr>
          <w:b w:val="true"/>
        </w:rPr>
        <w:t>Johann Georg Hamann → Peter Christoph Baron von Witten</w:t>
      </w:r>
      <w:r>
        <w:br/>
      </w:r>
      <w:r>
        <w:rPr/>
        <w:t xml:space="preserve"> </w:t>
      </w:r>
      <w:r>
        <w:rPr/>
        <w:t xml:space="preserve"> </w:t>
      </w:r>
    </w:p>
    <w:p>
      <w:pPr>
        <w:framePr w:w="1000" w:hSpace="420" w:wrap="around" w:hAnchor="page" w:vAnchor="text" w:xAlign="left" w:y="0"/>
        <w:keepNext w:val="true"/>
        <w:pStyle w:val="zeilenzählung"/>
      </w:pPr>
      <w:r>
        <w:rPr>
          <w:sz w:val="12"/>
        </w:rPr>
        <w:t>S. 260, 22</w:t>
      </w:r>
    </w:p>
    <w:p>
      <w:pPr>
        <w:pStyle w:val="rechtsbündig"/>
      </w:pPr>
      <w:r>
        <w:rPr/>
        <w:t xml:space="preserve">Riga. den </w:t>
      </w:r>
      <w:r>
        <w:rPr/>
        <w:t xml:space="preserve">4. </w:t>
      </w:r>
      <w:r>
        <w:rPr>
          <w:rFonts w:ascii="Linux Biolinum" w:hAnsi="Linux Biolinum" w:cs="Linux Biolinum"/>
        </w:rPr>
        <w:t xml:space="preserve">Octobr.</w:t>
      </w:r>
      <w:r>
        <w:rPr/>
        <w:t xml:space="preserve"> 1758.</w:t>
      </w:r>
      <w:r>
        <w:rPr/>
        <w:t xml:space="preserve"> </w:t>
      </w:r>
    </w:p>
    <w:p>
      <w:pPr>
        <w:pStyle w:val="doppeleinzug"/>
      </w:pPr>
      <w:r>
        <w:rPr/>
        <w:t xml:space="preserve">Lieber Herr Baron, </w:t>
      </w:r>
    </w:p>
    <w:p>
      <w:pPr>
        <w:pStyle w:val="stumpf"/>
      </w:pPr>
      <w:r>
        <w:rPr/>
        <w:t xml:space="preserve">Fehlt es Ihnen an Lust oder Herz, zu denken? Sind der Stand und das </w:t>
      </w:r>
    </w:p>
    <w:p>
      <w:pPr>
        <w:framePr w:w="1000" w:hSpace="420" w:wrap="around" w:hAnchor="page" w:vAnchor="text" w:xAlign="left" w:y="0"/>
        <w:keepNext w:val="true"/>
        <w:pStyle w:val="zeilenzählung"/>
      </w:pPr>
      <w:r>
        <w:rPr>
          <w:sz w:val="12"/>
        </w:rPr>
        <w:t>25</w:t>
      </w:r>
    </w:p>
    <w:p>
      <w:pPr>
        <w:pStyle w:val="stumpf"/>
      </w:pPr>
      <w:r>
        <w:rPr/>
        <w:t xml:space="preserve">Vaterland, zu dem Sie gehören, der Mühe nicht werth einige Betrachtungen </w:t>
      </w:r>
    </w:p>
    <w:p>
      <w:pPr>
        <w:pStyle w:val="stumpf"/>
      </w:pPr>
      <w:r>
        <w:rPr/>
        <w:t xml:space="preserve">oder Untersuchungen darüber anzustellen? Giebt es keine Pflichten, die aus </w:t>
      </w:r>
    </w:p>
    <w:p>
      <w:pPr>
        <w:pStyle w:val="stumpf"/>
      </w:pPr>
      <w:r>
        <w:rPr/>
        <w:t xml:space="preserve">diesen doppelten Verhältnißen unserer Geburt herfließen? Oder wollen wir </w:t>
      </w:r>
    </w:p>
    <w:p>
      <w:pPr>
        <w:pStyle w:val="stumpf"/>
      </w:pPr>
      <w:r>
        <w:rPr/>
        <w:t xml:space="preserve">solche nicht wißen, damit wir mit desto mehr Ruhe selbige aus den Augen </w:t>
      </w:r>
    </w:p>
    <w:p>
      <w:pPr>
        <w:pStyle w:val="stumpf"/>
      </w:pPr>
      <w:r>
        <w:rPr/>
        <w:t xml:space="preserve">setzen oder ihnen entgegen handeln können? – – </w:t>
      </w:r>
    </w:p>
    <w:p>
      <w:pPr>
        <w:framePr w:w="1000" w:hSpace="420" w:wrap="around" w:hAnchor="page" w:vAnchor="text" w:xAlign="left" w:y="0"/>
        <w:keepNext w:val="true"/>
        <w:pStyle w:val="zeilenzählung"/>
      </w:pPr>
      <w:r>
        <w:rPr>
          <w:sz w:val="12"/>
        </w:rPr>
        <w:t>30</w:t>
      </w:r>
    </w:p>
    <w:p>
      <w:pPr>
        <w:pStyle w:val="einzug"/>
      </w:pPr>
      <w:r>
        <w:rPr/>
        <w:t xml:space="preserve">Verzeyhen Sie diesen ungedultigen Ausbruch meinem Schreibepulte. Ich </w:t>
      </w:r>
    </w:p>
    <w:p>
      <w:pPr>
        <w:pStyle w:val="stumpf"/>
      </w:pPr>
      <w:r>
        <w:rPr/>
        <w:t xml:space="preserve">muß seit einigen Tagen ein</w:t>
      </w:r>
      <w:r>
        <w:rPr>
          <w:strike w:val="true"/>
        </w:rPr>
        <w:t xml:space="preserve">en</w:t>
      </w:r>
      <w:r>
        <w:rPr/>
        <w:t xml:space="preserve"> ziemlich starkes Flußfieber auf dem Bette </w:t>
      </w:r>
    </w:p>
    <w:p>
      <w:pPr>
        <w:pStyle w:val="stumpf"/>
      </w:pPr>
      <w:r>
        <w:rPr/>
        <w:t xml:space="preserve">abwarten. Es fängt sich Gott Lob! an zur Beßerung anzulaßen, und ich </w:t>
      </w:r>
    </w:p>
    <w:p>
      <w:pPr>
        <w:pStyle w:val="stumpf"/>
      </w:pPr>
      <w:r>
        <w:rPr/>
        <w:t xml:space="preserve">mache den Versuch, ob ich schon die Feder für die lange Weile hin und her </w:t>
      </w:r>
    </w:p>
    <w:p>
      <w:pPr>
        <w:pStyle w:val="stumpf"/>
      </w:pPr>
      <w:r>
        <w:rPr/>
        <w:t xml:space="preserve">führen kann. </w:t>
      </w:r>
    </w:p>
    <w:p>
      <w:pPr>
        <w:framePr w:w="1000" w:hSpace="420" w:wrap="around" w:hAnchor="page" w:vAnchor="text" w:xAlign="left" w:y="0"/>
        <w:keepNext w:val="true"/>
        <w:pStyle w:val="zeilenzählung"/>
      </w:pPr>
      <w:r>
        <w:rPr>
          <w:sz w:val="12"/>
        </w:rPr>
        <w:t>35</w:t>
      </w:r>
    </w:p>
    <w:p>
      <w:pPr>
        <w:pStyle w:val="einzug"/>
      </w:pPr>
      <w:r>
        <w:rPr/>
        <w:t xml:space="preserve">Laßen Sie sich, mein Herr Baron, den Schwung nicht befremden, den ich </w:t>
      </w:r>
    </w:p>
    <w:p>
      <w:pPr>
        <w:pStyle w:val="stumpf"/>
      </w:pPr>
      <w:r>
        <w:rPr/>
        <w:t xml:space="preserve">meinem Briefwechsel gegeben habe. Brauchen Sie nicht die Ausflucht gegen </w:t>
      </w:r>
    </w:p>
    <w:p>
      <w:pPr>
        <w:pStyle w:val="stumpf"/>
      </w:pPr>
      <w:r>
        <w:rPr/>
        <w:t xml:space="preserve">mich, daß Sie demselben noch nicht gewachsen sind. Ein guter Vorsänger </w:t>
      </w:r>
    </w:p>
    <w:p>
      <w:pPr>
        <w:framePr w:w="1000" w:hSpace="420" w:wrap="around" w:hAnchor="page" w:vAnchor="text" w:xAlign="left" w:y="0"/>
        <w:keepNext w:val="true"/>
        <w:pStyle w:val="seitenzählung"/>
      </w:pPr>
      <w:r>
        <w:rPr>
          <w:sz w:val="12"/>
          <w:b w:val="true"/>
        </w:rPr>
        <w:t>S. 261</w:t>
      </w:r>
      <w:r>
        <w:rPr/>
        <w:t xml:space="preserve"> </w:t>
      </w:r>
    </w:p>
    <w:p>
      <w:pPr>
        <w:pStyle w:val="stumpf"/>
      </w:pPr>
      <w:r>
        <w:rPr/>
        <w:t xml:space="preserve">zieht mit Fleiß seine Stimme einen halben Ton höher, weil er aus der </w:t>
      </w:r>
    </w:p>
    <w:p>
      <w:pPr>
        <w:pStyle w:val="stumpf"/>
      </w:pPr>
      <w:r>
        <w:rPr/>
        <w:t xml:space="preserve">Erfahrung weiß, daß seine Gemeine geneigt ist zu tief herunterzusinken. </w:t>
      </w:r>
    </w:p>
    <w:p>
      <w:pPr>
        <w:pStyle w:val="einzug"/>
      </w:pPr>
      <w:r>
        <w:rPr/>
        <w:t xml:space="preserve">Erlauben Sie mir, Sie an ein häuslich Beyspiel zu erinnern, um Ihnen </w:t>
      </w:r>
    </w:p>
    <w:p>
      <w:pPr>
        <w:pStyle w:val="stumpf"/>
      </w:pPr>
      <w:r>
        <w:rPr/>
        <w:t xml:space="preserve">dadurch meine Meynung desto deutlicher zu machen. Wie die Gnädige </w:t>
      </w:r>
    </w:p>
    <w:p>
      <w:pPr>
        <w:framePr w:w="1000" w:hSpace="420" w:wrap="around" w:hAnchor="page" w:vAnchor="text" w:xAlign="left" w:y="0"/>
        <w:keepNext w:val="true"/>
        <w:pStyle w:val="zeilenzählung"/>
      </w:pPr>
      <w:r>
        <w:rPr>
          <w:sz w:val="12"/>
        </w:rPr>
        <w:t>5</w:t>
      </w:r>
    </w:p>
    <w:p>
      <w:pPr>
        <w:pStyle w:val="stumpf"/>
      </w:pPr>
      <w:r>
        <w:rPr/>
        <w:t xml:space="preserve">Fräulein noch auf den Armen Ihrer Wärterinn getragen wurde, ersuchte sie durch </w:t>
      </w:r>
    </w:p>
    <w:p>
      <w:pPr>
        <w:pStyle w:val="stumpf"/>
      </w:pPr>
      <w:r>
        <w:rPr/>
        <w:t xml:space="preserve">einen Wink Ihren Herren Bruder in Ihrem Namen einen kleinen Brief zu </w:t>
      </w:r>
    </w:p>
    <w:p>
      <w:pPr>
        <w:pStyle w:val="stumpf"/>
      </w:pPr>
      <w:r>
        <w:rPr/>
        <w:t xml:space="preserve">schreiben. Er beqvemte sich darinn Ihrer selbstgemachten Sprache, und ahmte </w:t>
      </w:r>
    </w:p>
    <w:p>
      <w:pPr>
        <w:pStyle w:val="stumpf"/>
      </w:pPr>
      <w:r>
        <w:rPr/>
        <w:t xml:space="preserve">ihre willkührliche Wörter und die </w:t>
      </w:r>
      <w:r>
        <w:rPr>
          <w:rFonts w:ascii="Linux Biolinum" w:hAnsi="Linux Biolinum" w:cs="Linux Biolinum"/>
        </w:rPr>
        <w:t xml:space="preserve">Idiotismen</w:t>
      </w:r>
      <w:r>
        <w:rPr/>
        <w:t xml:space="preserve"> der ersten Kindheit so gut als </w:t>
      </w:r>
    </w:p>
    <w:p>
      <w:pPr>
        <w:pStyle w:val="stumpf"/>
      </w:pPr>
      <w:r>
        <w:rPr/>
        <w:t xml:space="preserve">möglich nach. Fragen Sie ihn, wenn er jetzt in dem Namen seiner Fräulein </w:t>
      </w:r>
    </w:p>
    <w:p>
      <w:pPr>
        <w:framePr w:w="1000" w:hSpace="420" w:wrap="around" w:hAnchor="page" w:vAnchor="text" w:xAlign="left" w:y="0"/>
        <w:keepNext w:val="true"/>
        <w:pStyle w:val="zeilenzählung"/>
      </w:pPr>
      <w:r>
        <w:rPr>
          <w:sz w:val="12"/>
        </w:rPr>
        <w:t>10</w:t>
      </w:r>
    </w:p>
    <w:p>
      <w:pPr>
        <w:pStyle w:val="stumpf"/>
      </w:pPr>
      <w:r>
        <w:rPr/>
        <w:t xml:space="preserve">Schwester schreiben sollte, ob er seine Schreibart nicht so einrichten würde, </w:t>
      </w:r>
    </w:p>
    <w:p>
      <w:pPr>
        <w:pStyle w:val="stumpf"/>
      </w:pPr>
      <w:r>
        <w:rPr/>
        <w:t xml:space="preserve">daß man sie nach selbiger einige Jahre älter beurtheilen würde, als Sie </w:t>
      </w:r>
    </w:p>
    <w:p>
      <w:pPr>
        <w:pStyle w:val="stumpf"/>
      </w:pPr>
      <w:r>
        <w:rPr/>
        <w:t xml:space="preserve">würklich ist. </w:t>
      </w:r>
    </w:p>
    <w:p>
      <w:pPr>
        <w:pStyle w:val="einzug"/>
      </w:pPr>
      <w:r>
        <w:rPr/>
        <w:t xml:space="preserve">So lange Kinder noch nicht reden können, läßt man sich zu ihrer </w:t>
      </w:r>
    </w:p>
    <w:p>
      <w:pPr>
        <w:pStyle w:val="stumpf"/>
      </w:pPr>
      <w:r>
        <w:rPr>
          <w:strike w:val="true"/>
        </w:rPr>
        <w:t xml:space="preserve">selbstgemachten</w:t>
      </w:r>
      <w:r>
        <w:rPr/>
        <w:t xml:space="preserve"> angenommenen Sprache herunter. Diese Gefälligkeit hört aber </w:t>
      </w:r>
    </w:p>
    <w:p>
      <w:pPr>
        <w:framePr w:w="1000" w:hSpace="420" w:wrap="around" w:hAnchor="page" w:vAnchor="text" w:xAlign="left" w:y="0"/>
        <w:keepNext w:val="true"/>
        <w:pStyle w:val="zeilenzählung"/>
      </w:pPr>
      <w:r>
        <w:rPr>
          <w:sz w:val="12"/>
        </w:rPr>
        <w:t>15</w:t>
      </w:r>
    </w:p>
    <w:p>
      <w:pPr>
        <w:pStyle w:val="stumpf"/>
      </w:pPr>
      <w:r>
        <w:rPr/>
        <w:t xml:space="preserve">auf, so bald sie recht reden lernen sollen. Eben diese Bewandtnis hat es mit </w:t>
      </w:r>
    </w:p>
    <w:p>
      <w:pPr>
        <w:pStyle w:val="stumpf"/>
      </w:pPr>
      <w:r>
        <w:rPr/>
        <w:t xml:space="preserve">dem Denken. Sie sind schon in dem Alter, lieber Herr Baron, wo man Ihrem </w:t>
      </w:r>
    </w:p>
    <w:p>
      <w:pPr>
        <w:pStyle w:val="stumpf"/>
      </w:pPr>
      <w:r>
        <w:rPr/>
        <w:t xml:space="preserve">Verstande zumuthen kann, sich ein wenig auszustrecken, und daß ich so sage, </w:t>
      </w:r>
    </w:p>
    <w:p>
      <w:pPr>
        <w:pStyle w:val="stumpf"/>
      </w:pPr>
      <w:r>
        <w:rPr/>
        <w:t xml:space="preserve">mit selbigem auf d</w:t>
      </w:r>
      <w:r>
        <w:rPr>
          <w:strike w:val="true"/>
        </w:rPr>
        <w:t xml:space="preserve">ie</w:t>
      </w:r>
      <w:r>
        <w:rPr/>
        <w:t xml:space="preserve">en Zehen zu stehen um das zu erreichen, was man </w:t>
      </w:r>
    </w:p>
    <w:p>
      <w:pPr>
        <w:pStyle w:val="stumpf"/>
      </w:pPr>
      <w:r>
        <w:rPr/>
        <w:t xml:space="preserve">Ihnen vorhält. </w:t>
      </w:r>
    </w:p>
    <w:p>
      <w:pPr>
        <w:framePr w:w="1000" w:hSpace="420" w:wrap="around" w:hAnchor="page" w:vAnchor="text" w:xAlign="left" w:y="0"/>
        <w:keepNext w:val="true"/>
        <w:pStyle w:val="zeilenzählung"/>
      </w:pPr>
      <w:r>
        <w:rPr>
          <w:sz w:val="12"/>
        </w:rPr>
        <w:t>20</w:t>
      </w:r>
    </w:p>
    <w:p>
      <w:pPr>
        <w:pStyle w:val="einzug"/>
      </w:pPr>
      <w:r>
        <w:rPr/>
        <w:t xml:space="preserve">Ich kann Ihnen diese Uebung desto sicherer geben, da Sie das Glück haben </w:t>
      </w:r>
    </w:p>
    <w:p>
      <w:pPr>
        <w:pStyle w:val="stumpf"/>
      </w:pPr>
      <w:r>
        <w:rPr/>
        <w:t xml:space="preserve">einen Hofmeister zu genüßen, dem nicht nur seine Einsichten sondern auch die </w:t>
      </w:r>
    </w:p>
    <w:p>
      <w:pPr>
        <w:pStyle w:val="stumpf"/>
      </w:pPr>
      <w:r>
        <w:rPr/>
        <w:t xml:space="preserve">Sympathie unserer Gesinnungen den Schlüßel zu meinen Briefen </w:t>
      </w:r>
      <w:r>
        <w:rPr>
          <w:strike w:val="true"/>
        </w:rPr>
        <w:t xml:space="preserve">geben</w:t>
      </w:r>
      <w:r>
        <w:rPr/>
        <w:t xml:space="preserve"> </w:t>
      </w:r>
    </w:p>
    <w:p>
      <w:pPr>
        <w:pStyle w:val="stumpf"/>
      </w:pPr>
      <w:r>
        <w:rPr/>
        <w:t xml:space="preserve">mittheilen, der Unpartheyligkeit und Freundschafft genung gegen Sie und </w:t>
      </w:r>
    </w:p>
    <w:p>
      <w:pPr>
        <w:pStyle w:val="stumpf"/>
      </w:pPr>
      <w:r>
        <w:rPr/>
        <w:t xml:space="preserve">mich </w:t>
      </w:r>
      <w:r>
        <w:rPr>
          <w:strike w:val="true"/>
        </w:rPr>
        <w:t xml:space="preserve">besitzt</w:t>
      </w:r>
      <w:r>
        <w:rPr/>
        <w:t xml:space="preserve"> hegt um die Lücken meiner Gedanken auszufüllen, die Schwäche </w:t>
      </w:r>
    </w:p>
    <w:p>
      <w:pPr>
        <w:framePr w:w="1000" w:hSpace="420" w:wrap="around" w:hAnchor="page" w:vAnchor="text" w:xAlign="left" w:y="0"/>
        <w:keepNext w:val="true"/>
        <w:pStyle w:val="zeilenzählung"/>
      </w:pPr>
      <w:r>
        <w:rPr>
          <w:sz w:val="12"/>
        </w:rPr>
        <w:t>25</w:t>
      </w:r>
    </w:p>
    <w:p>
      <w:pPr>
        <w:pStyle w:val="stumpf"/>
      </w:pPr>
      <w:r>
        <w:rPr/>
        <w:t xml:space="preserve">meiner Urtheile und Einfälle aufzudecken, und selbst über die Fehler meiner </w:t>
      </w:r>
    </w:p>
    <w:p>
      <w:pPr>
        <w:pStyle w:val="stumpf"/>
      </w:pPr>
      <w:r>
        <w:rPr/>
        <w:t xml:space="preserve">Schreibart Erinnerungen zu machen. Sie wißen, daß ich im Fall der Noth </w:t>
      </w:r>
    </w:p>
    <w:p>
      <w:pPr>
        <w:pStyle w:val="stumpf"/>
      </w:pPr>
      <w:r>
        <w:rPr/>
        <w:t xml:space="preserve">mich gern dazu brauche, mein eigener Kunstrichter zu seyn. </w:t>
      </w:r>
    </w:p>
    <w:p>
      <w:pPr>
        <w:pStyle w:val="einzug"/>
      </w:pPr>
      <w:r>
        <w:rPr/>
        <w:t xml:space="preserve">Arbeiten Sie also, so viel Sie können, an der Aufgabe, die ich Ihnen </w:t>
      </w:r>
    </w:p>
    <w:p>
      <w:pPr>
        <w:pStyle w:val="stumpf"/>
      </w:pPr>
      <w:r>
        <w:rPr/>
        <w:t xml:space="preserve">vorgelegt. Von ihrer Auflösung könnte vielleicht der Plan meiner übrigen Briefe </w:t>
      </w:r>
    </w:p>
    <w:p>
      <w:pPr>
        <w:framePr w:w="1000" w:hSpace="420" w:wrap="around" w:hAnchor="page" w:vAnchor="text" w:xAlign="left" w:y="0"/>
        <w:keepNext w:val="true"/>
        <w:pStyle w:val="zeilenzählung"/>
      </w:pPr>
      <w:r>
        <w:rPr>
          <w:sz w:val="12"/>
        </w:rPr>
        <w:t>30</w:t>
      </w:r>
    </w:p>
    <w:p>
      <w:pPr>
        <w:pStyle w:val="stumpf"/>
      </w:pPr>
      <w:r>
        <w:rPr/>
        <w:t xml:space="preserve">abhängen. </w:t>
      </w:r>
    </w:p>
    <w:p>
      <w:pPr>
        <w:pStyle w:val="einzug"/>
      </w:pPr>
      <w:r>
        <w:rPr/>
        <w:t xml:space="preserve">Ein wenig Vorrath habe ich in meinem letzteren Schreiben Ihnen an die </w:t>
      </w:r>
    </w:p>
    <w:p>
      <w:pPr>
        <w:pStyle w:val="stumpf"/>
      </w:pPr>
      <w:r>
        <w:rPr/>
        <w:t xml:space="preserve">Hand gegeben. Es war ein Auszug eines fremden Schriftstellers, deßen </w:t>
      </w:r>
    </w:p>
    <w:p>
      <w:pPr>
        <w:pStyle w:val="stumpf"/>
      </w:pPr>
      <w:r>
        <w:rPr/>
        <w:t xml:space="preserve">Gedanken ich Ihnen mitgetheilt, deren Wahrheit und Last ich aber nicht auf mir </w:t>
      </w:r>
    </w:p>
    <w:p>
      <w:pPr>
        <w:pStyle w:val="stumpf"/>
      </w:pPr>
      <w:r>
        <w:rPr/>
        <w:t xml:space="preserve">genommen. </w:t>
      </w:r>
    </w:p>
    <w:p>
      <w:pPr>
        <w:framePr w:w="1000" w:hSpace="420" w:wrap="around" w:hAnchor="page" w:vAnchor="text" w:xAlign="left" w:y="0"/>
        <w:keepNext w:val="true"/>
        <w:pStyle w:val="zeilenzählung"/>
      </w:pPr>
      <w:r>
        <w:rPr>
          <w:sz w:val="12"/>
        </w:rPr>
        <w:t>35</w:t>
      </w:r>
    </w:p>
    <w:p>
      <w:pPr>
        <w:pStyle w:val="einzug"/>
      </w:pPr>
      <w:r>
        <w:rPr/>
        <w:t xml:space="preserve">Sind darinn Dinge die den kurländischen Adel eben so sehr als den </w:t>
      </w:r>
    </w:p>
    <w:p>
      <w:pPr>
        <w:pStyle w:val="stumpf"/>
      </w:pPr>
      <w:r>
        <w:rPr/>
        <w:t xml:space="preserve">französischen treffen, so ist es nicht meine Schuld. Sollte der erstere wohl ein </w:t>
      </w:r>
    </w:p>
    <w:p>
      <w:pPr>
        <w:pStyle w:val="stumpf"/>
      </w:pPr>
      <w:r>
        <w:rPr/>
        <w:t xml:space="preserve">kützlicher Ohr haben oder empfindlicher über den Fleck der Ehre als der </w:t>
      </w:r>
    </w:p>
    <w:p>
      <w:pPr>
        <w:framePr w:w="1000" w:hSpace="420" w:wrap="around" w:hAnchor="page" w:vAnchor="text" w:xAlign="left" w:y="0"/>
        <w:keepNext w:val="true"/>
        <w:pStyle w:val="seitenzählung"/>
      </w:pPr>
      <w:r>
        <w:rPr>
          <w:sz w:val="12"/>
          <w:b w:val="true"/>
        </w:rPr>
        <w:t>S. 262</w:t>
      </w:r>
      <w:r>
        <w:rPr/>
        <w:t xml:space="preserve"> </w:t>
      </w:r>
    </w:p>
    <w:p>
      <w:pPr>
        <w:pStyle w:val="stumpf"/>
      </w:pPr>
      <w:r>
        <w:rPr/>
        <w:t xml:space="preserve">letztere denken? Dann würde es nicht rathsam seyn in Kurland dasjenige zu </w:t>
      </w:r>
    </w:p>
    <w:p>
      <w:pPr>
        <w:pStyle w:val="stumpf"/>
      </w:pPr>
      <w:r>
        <w:rPr/>
        <w:t xml:space="preserve">übersetzen, was ein Pabst, </w:t>
      </w:r>
      <w:r>
        <w:rPr>
          <w:rFonts w:ascii="Linux Biolinum" w:hAnsi="Linux Biolinum" w:cs="Linux Biolinum"/>
        </w:rPr>
        <w:t xml:space="preserve">Pius II.</w:t>
      </w:r>
      <w:r>
        <w:rPr/>
        <w:t xml:space="preserve"> in seinen Werken hat über den Adel </w:t>
      </w:r>
    </w:p>
    <w:p>
      <w:pPr>
        <w:pStyle w:val="stumpf"/>
      </w:pPr>
      <w:r>
        <w:rPr/>
        <w:t xml:space="preserve">überhaupt einflüßen laßen. – – </w:t>
      </w:r>
    </w:p>
    <w:p>
      <w:pPr>
        <w:pStyle w:val="einzug"/>
      </w:pPr>
      <w:r>
        <w:rPr/>
        <w:t xml:space="preserve">Genung für einen Kranken. Ich sage Ihnen noch dies als eine vorläufige </w:t>
      </w:r>
    </w:p>
    <w:p>
      <w:pPr>
        <w:framePr w:w="1000" w:hSpace="420" w:wrap="around" w:hAnchor="page" w:vAnchor="text" w:xAlign="left" w:y="0"/>
        <w:keepNext w:val="true"/>
        <w:pStyle w:val="zeilenzählung"/>
      </w:pPr>
      <w:r>
        <w:rPr>
          <w:sz w:val="12"/>
        </w:rPr>
        <w:t>5</w:t>
      </w:r>
    </w:p>
    <w:p>
      <w:pPr>
        <w:pStyle w:val="stumpf"/>
      </w:pPr>
      <w:r>
        <w:rPr/>
        <w:t xml:space="preserve">Anmerkung, daß kein vernünfftiger Mensch ein Bilderstürmer der in der Welt </w:t>
      </w:r>
    </w:p>
    <w:p>
      <w:pPr>
        <w:pStyle w:val="stumpf"/>
      </w:pPr>
      <w:r>
        <w:rPr/>
        <w:t xml:space="preserve">eingeführten Vorurtheile ist, daß er die Nothwendigkeit, den Werth und </w:t>
      </w:r>
    </w:p>
    <w:p>
      <w:pPr>
        <w:pStyle w:val="stumpf"/>
      </w:pPr>
      <w:r>
        <w:rPr/>
        <w:t xml:space="preserve">Nutzen derselben erkennt, und selbst von den Misbräuchen in ihrer Anwendung </w:t>
      </w:r>
    </w:p>
    <w:p>
      <w:pPr>
        <w:pStyle w:val="stumpf"/>
      </w:pPr>
      <w:r>
        <w:rPr/>
        <w:t xml:space="preserve">mit Anstand und Mäßigkeit denkt, redet und schreibt. </w:t>
      </w:r>
    </w:p>
    <w:p>
      <w:pPr>
        <w:pStyle w:val="einzug"/>
      </w:pPr>
      <w:r>
        <w:rPr/>
        <w:t xml:space="preserve">Entschuldigen Sie die Runzeln dieses Briefes, und laßen Sie den Verfaßer </w:t>
      </w:r>
    </w:p>
    <w:p>
      <w:pPr>
        <w:framePr w:w="1000" w:hSpace="420" w:wrap="around" w:hAnchor="page" w:vAnchor="text" w:xAlign="left" w:y="0"/>
        <w:keepNext w:val="true"/>
        <w:pStyle w:val="zeilenzählung"/>
      </w:pPr>
      <w:r>
        <w:rPr>
          <w:sz w:val="12"/>
        </w:rPr>
        <w:t>10</w:t>
      </w:r>
    </w:p>
    <w:p>
      <w:pPr>
        <w:pStyle w:val="stumpf"/>
      </w:pPr>
      <w:r>
        <w:rPr/>
        <w:t xml:space="preserve">deßelben Ihrem geneigten Andenken empfohlen seyn. Ich bin mit der </w:t>
      </w:r>
    </w:p>
    <w:p>
      <w:pPr>
        <w:pStyle w:val="stumpf"/>
      </w:pPr>
      <w:r>
        <w:rPr/>
        <w:t xml:space="preserve">aufrichtigsten Hochachtung Ew. Hochwohlgeboren ergebenster Diener und Freund.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305–308.</w:t>
      </w:r>
    </w:p>
    <w:p>
      <w:pPr>
        <w:pStyle w:val="stumpf"/>
      </w:pPr>
      <w:r>
        <w:rPr>
          <w:rFonts w:ascii="Linux Biolinum" w:hAnsi="Linux Biolinum" w:cs="Linux Biolinum"/>
        </w:rPr>
        <w:t xml:space="preserve">ZH I 260–262, Nr. 120.</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260/23</w:t>
      </w:r>
      <w:r>
        <w:rPr/>
        <w:t xml:space="preserve"> </w:t>
      </w:r>
      <w:r>
        <w:rPr/>
        <w:t xml:space="preserve">Peter Christoph Baron v. Witten</w:t>
      </w:r>
      <w:r>
        <w:rPr/>
      </w:r>
      <w:r>
        <w:rPr/>
        <w:t xml:space="preserve"> </w:t>
      </w:r>
    </w:p>
    <w:p>
      <w:pPr>
        <w:pStyle w:val="kommentar"/>
      </w:pPr>
      <w:r>
        <w:rPr>
          <w:b w:val="true"/>
          <w:sz w:val="16"/>
        </w:rPr>
        <w:t xml:space="preserve">260/31</w:t>
      </w:r>
      <w:r>
        <w:rPr/>
        <w:t xml:space="preserve"> </w:t>
      </w:r>
      <w:r>
        <w:rPr>
          <w:rFonts w:ascii="Linux Libertine G" w:hAnsi="Linux Libertine G" w:cs="Linux Libertine G"/>
        </w:rPr>
        <w:t xml:space="preserve">Flußfieber</w:t>
        <w:t>]</w:t>
      </w:r>
      <w:r>
        <w:rPr/>
        <w:t xml:space="preserve"> »Febris catarrhalis, ein nachlaßendes Fieber, welches sich mit Flüssen auf der Brust vereinigt. Man macht einen Unterschied unter ein gutartigen [Catarrh] und bösartigem Flußfieber.« </w:t>
      </w:r>
      <w:r>
        <w:rPr>
          <w:i w:val="true"/>
        </w:rPr>
        <w:t xml:space="preserve">Oeconomische Encyclopädie oder Allgemeines System der Staats-, Stadt-, Haus- u. Landwirthschaft</w:t>
      </w:r>
      <w:r>
        <w:rPr/>
        <w:t xml:space="preserve">, 14. Tl. (Berlin 1778), S. 420 </w:t>
      </w:r>
    </w:p>
    <w:p>
      <w:pPr>
        <w:pStyle w:val="kommentar"/>
      </w:pPr>
      <w:r>
        <w:rPr>
          <w:b w:val="true"/>
          <w:sz w:val="16"/>
        </w:rPr>
        <w:t xml:space="preserve">261/5</w:t>
      </w:r>
      <w:r>
        <w:rPr/>
        <w:t xml:space="preserve"> </w:t>
      </w:r>
      <w:r>
        <w:rPr/>
        <w:t xml:space="preserve">Philippine Elisabeth v. Witten</w:t>
      </w:r>
      <w:r>
        <w:rPr/>
      </w:r>
      <w:r>
        <w:rPr/>
        <w:t xml:space="preserve"> </w:t>
      </w:r>
    </w:p>
    <w:p>
      <w:pPr>
        <w:pStyle w:val="kommentar"/>
      </w:pPr>
      <w:r>
        <w:rPr>
          <w:b w:val="true"/>
          <w:sz w:val="16"/>
        </w:rPr>
        <w:t xml:space="preserve">261/6</w:t>
      </w:r>
      <w:r>
        <w:rPr/>
        <w:t xml:space="preserve"> </w:t>
      </w:r>
      <w:r>
        <w:rPr/>
        <w:t xml:space="preserve">Joseph Johann Baron v. Witten</w:t>
      </w:r>
      <w:r>
        <w:rPr/>
      </w:r>
      <w:r>
        <w:rPr/>
        <w:t xml:space="preserve"> </w:t>
      </w:r>
    </w:p>
    <w:p>
      <w:pPr>
        <w:pStyle w:val="kommentar"/>
      </w:pPr>
      <w:r>
        <w:rPr>
          <w:b w:val="true"/>
          <w:sz w:val="16"/>
        </w:rPr>
        <w:t xml:space="preserve">261/21</w:t>
      </w:r>
      <w:r>
        <w:rPr/>
        <w:t xml:space="preserve"> </w:t>
      </w:r>
      <w:r>
        <w:rPr/>
        <w:t xml:space="preserve">Gottlob Immanuel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262/2</w:t>
      </w:r>
      <w:r>
        <w:rPr/>
        <w:t xml:space="preserve"> in </w:t>
      </w:r>
      <w:r>
        <w:rPr/>
        <w:t xml:space="preserve">Pius II., </w:t>
      </w:r>
      <w:r>
        <w:rPr>
          <w:i w:val="true"/>
        </w:rPr>
        <w:t xml:space="preserve">De duobus amantibus</w:t>
      </w:r>
      <w:r>
        <w:rPr/>
      </w:r>
      <w:r>
        <w:rPr/>
        <w:t xml:space="preserve">, vgl. </w:t>
      </w:r>
      <w:r>
        <w:t>HKB 122 (I  264/9)</w:t>
      </w:r>
      <w:r>
        <w:rPr/>
      </w:r>
      <w:r>
        <w:rPr/>
        <w:t xml:space="preserve">; H. zitiert es auch in </w:t>
      </w:r>
      <w:r>
        <w:rPr/>
        <w:t xml:space="preserve">Hamann, </w:t>
      </w:r>
      <w:r>
        <w:rPr>
          <w:i w:val="true"/>
        </w:rPr>
        <w:t xml:space="preserve">Beylage zu Dangeuil</w:t>
      </w:r>
      <w:r>
        <w:rPr/>
      </w:r>
      <w:r>
        <w:rPr/>
        <w:t xml:space="preserve">, N IV S. 235/39, ED S. 383f.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120 (I 260‒262)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30dfc04b730495f" /><Relationship Type="http://schemas.openxmlformats.org/officeDocument/2006/relationships/footer" Target="/word/footer1.xml" Id="default" /></Relationships>
</file>