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78fb9bf76f4ff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266‒267</w:t>
      </w:r>
      <w:r>
        <w:br/>
      </w:r>
    </w:p>
    <w:p>
      <w:pPr>
        <w:pStyle w:val="linksbündig"/>
      </w:pPr>
      <w:r>
        <w:rPr>
          <w:sz w:val="32"/>
          <w:b w:val="true"/>
        </w:rPr>
        <w:t>124</w:t>
      </w:r>
    </w:p>
    <w:p>
      <w:pPr>
        <w:pStyle w:val="linksbündig"/>
      </w:pPr>
      <w:r>
        <w:rPr>
          <w:b w:val="true"/>
        </w:rPr>
        <w:t>Riga, 17. Oktober 1758</w:t>
      </w:r>
      <w:r>
        <w:br/>
      </w:r>
      <w:r>
        <w:rPr>
          <w:b w:val="true"/>
        </w:rPr>
        <w:t>Johann Georg Hamann → Joseph Johann Baron von Witten</w:t>
      </w:r>
      <w:r>
        <w:br/>
      </w:r>
      <w:r>
        <w:rPr/>
        <w:t xml:space="preserve"> </w:t>
      </w:r>
      <w:r>
        <w:rPr/>
        <w:t xml:space="preserve"> </w:t>
      </w:r>
    </w:p>
    <w:p>
      <w:pPr>
        <w:framePr w:w="1000" w:hSpace="420" w:wrap="around" w:hAnchor="page" w:vAnchor="text" w:xAlign="left" w:y="0"/>
        <w:keepNext w:val="true"/>
        <w:pStyle w:val="zeilenzählung"/>
      </w:pPr>
      <w:r>
        <w:rPr>
          <w:sz w:val="12"/>
        </w:rPr>
        <w:t>S. 266, 15</w:t>
      </w:r>
    </w:p>
    <w:p>
      <w:pPr>
        <w:pStyle w:val="stumpf"/>
      </w:pPr>
      <w:r>
        <w:rPr/>
        <w:t xml:space="preserve">Mein lieber Herr Baron, </w:t>
      </w:r>
    </w:p>
    <w:p>
      <w:pPr>
        <w:pStyle w:val="stumpf"/>
      </w:pPr>
      <w:r>
        <w:rPr/>
        <w:t xml:space="preserve">Es heist </w:t>
      </w:r>
      <w:r>
        <w:rPr>
          <w:rFonts w:ascii="Linux Biolinum" w:hAnsi="Linux Biolinum" w:cs="Linux Biolinum"/>
        </w:rPr>
        <w:t xml:space="preserve">sub littera</w:t>
      </w:r>
      <w:r>
        <w:rPr/>
        <w:t xml:space="preserve"> B. in dem berühmten </w:t>
      </w:r>
      <w:r>
        <w:rPr>
          <w:rFonts w:ascii="Linux Biolinum" w:hAnsi="Linux Biolinum" w:cs="Linux Biolinum"/>
        </w:rPr>
        <w:t xml:space="preserve">Autore classico,</w:t>
      </w:r>
      <w:r>
        <w:rPr/>
        <w:t xml:space="preserve"> auf deßen </w:t>
      </w:r>
    </w:p>
    <w:p>
      <w:pPr>
        <w:pStyle w:val="stumpf"/>
      </w:pPr>
      <w:r>
        <w:rPr/>
        <w:t xml:space="preserve">Bekanntschafft sich der kleine Herr Bruder freuet; </w:t>
      </w:r>
    </w:p>
    <w:p>
      <w:pPr>
        <w:pStyle w:val="vierfacheinzug"/>
      </w:pPr>
      <w:r>
        <w:rPr/>
        <w:t xml:space="preserve">Wie grausam ist der wilde Bär </w:t>
      </w:r>
    </w:p>
    <w:p>
      <w:pPr>
        <w:pStyle w:val="vierfacheinzug"/>
      </w:pPr>
      <w:r>
        <w:rPr/>
        <w:t xml:space="preserve">Wenn er vom Honigbaum kommt her. </w:t>
      </w:r>
    </w:p>
    <w:p>
      <w:pPr>
        <w:framePr w:w="1000" w:hSpace="420" w:wrap="around" w:hAnchor="page" w:vAnchor="text" w:xAlign="left" w:y="0"/>
        <w:keepNext w:val="true"/>
        <w:pStyle w:val="zeilenzählung"/>
      </w:pPr>
      <w:r>
        <w:rPr>
          <w:sz w:val="12"/>
        </w:rPr>
        <w:t>20</w:t>
      </w:r>
    </w:p>
    <w:p>
      <w:pPr>
        <w:pStyle w:val="stumpf"/>
      </w:pPr>
      <w:r>
        <w:rPr/>
        <w:t xml:space="preserve">Sie wundern sich vielleicht, warum der Bär so viel Geschmack am Honig </w:t>
      </w:r>
    </w:p>
    <w:p>
      <w:pPr>
        <w:pStyle w:val="stumpf"/>
      </w:pPr>
      <w:r>
        <w:rPr/>
        <w:t xml:space="preserve">hat. Wie kann ich Ihnen das nun sagen, da ich nicht einmal von meinem </w:t>
      </w:r>
    </w:p>
    <w:p>
      <w:pPr>
        <w:pStyle w:val="stumpf"/>
      </w:pPr>
      <w:r>
        <w:rPr/>
        <w:t xml:space="preserve">eigenen daran, Ihnen Red und Antwort geben könnte? Vielleicht braucht </w:t>
      </w:r>
    </w:p>
    <w:p>
      <w:pPr>
        <w:pStyle w:val="stumpf"/>
      </w:pPr>
      <w:r>
        <w:rPr/>
        <w:t xml:space="preserve">seine Zunge diese Erqvickung des wegen, weil man erzählt, daß seine Jungen </w:t>
      </w:r>
    </w:p>
    <w:p>
      <w:pPr>
        <w:pStyle w:val="stumpf"/>
      </w:pPr>
      <w:r>
        <w:rPr/>
        <w:t xml:space="preserve">so unförmlich zur Welt kommen, daß er nöthig hat selbige erst durch das </w:t>
      </w:r>
    </w:p>
    <w:p>
      <w:pPr>
        <w:framePr w:w="1000" w:hSpace="420" w:wrap="around" w:hAnchor="page" w:vAnchor="text" w:xAlign="left" w:y="0"/>
        <w:keepNext w:val="true"/>
        <w:pStyle w:val="zeilenzählung"/>
      </w:pPr>
      <w:r>
        <w:rPr>
          <w:sz w:val="12"/>
        </w:rPr>
        <w:t>25</w:t>
      </w:r>
    </w:p>
    <w:p>
      <w:pPr>
        <w:pStyle w:val="stumpf"/>
      </w:pPr>
      <w:r>
        <w:rPr/>
        <w:t xml:space="preserve">Lecken zu bilden. Bey dieser Gelegenheit fällt mir ein Mährchen von einer </w:t>
      </w:r>
    </w:p>
    <w:p>
      <w:pPr>
        <w:pStyle w:val="stumpf"/>
      </w:pPr>
      <w:r>
        <w:rPr/>
        <w:t xml:space="preserve">Bärin ein, die sich mehr Mühe gab, als sich eine Mutter von diesem Geschlecht </w:t>
      </w:r>
    </w:p>
    <w:p>
      <w:pPr>
        <w:pStyle w:val="stumpf"/>
      </w:pPr>
      <w:r>
        <w:rPr/>
        <w:t xml:space="preserve">jemals gegeben. Endlich vergieng ihr die Gedult, und sie sprach zu dem kleinen </w:t>
      </w:r>
    </w:p>
    <w:p>
      <w:pPr>
        <w:pStyle w:val="stumpf"/>
      </w:pPr>
      <w:r>
        <w:rPr/>
        <w:t xml:space="preserve">lebenden Klumpen vom Kinde, das vor ihr lag: Geh, Unart, wenn ich mir </w:t>
      </w:r>
    </w:p>
    <w:p>
      <w:pPr>
        <w:pStyle w:val="stumpf"/>
      </w:pPr>
      <w:r>
        <w:rPr/>
        <w:t xml:space="preserve">auch an dir die Zunge aus dem Schlunde leckte, so wirst du doch niemals so </w:t>
      </w:r>
    </w:p>
    <w:p>
      <w:pPr>
        <w:framePr w:w="1000" w:hSpace="420" w:wrap="around" w:hAnchor="page" w:vAnchor="text" w:xAlign="left" w:y="0"/>
        <w:keepNext w:val="true"/>
        <w:pStyle w:val="zeilenzählung"/>
      </w:pPr>
      <w:r>
        <w:rPr>
          <w:sz w:val="12"/>
        </w:rPr>
        <w:t>30</w:t>
      </w:r>
    </w:p>
    <w:p>
      <w:pPr>
        <w:pStyle w:val="stumpf"/>
      </w:pPr>
      <w:r>
        <w:rPr/>
        <w:t xml:space="preserve">artig als ein Affe werden. </w:t>
      </w:r>
    </w:p>
    <w:p>
      <w:pPr>
        <w:pStyle w:val="einzug"/>
      </w:pPr>
      <w:r>
        <w:rPr/>
        <w:t xml:space="preserve">Um nichts umsonst zu hören und zu sehen, suche ich aus jeder Sache, die </w:t>
      </w:r>
    </w:p>
    <w:p>
      <w:pPr>
        <w:pStyle w:val="stumpf"/>
      </w:pPr>
      <w:r>
        <w:rPr/>
        <w:t xml:space="preserve">mir vorkommt, was zu lernen und einen Nutzen für mich daraus zu ziehen. </w:t>
      </w:r>
    </w:p>
    <w:p>
      <w:pPr>
        <w:pStyle w:val="stumpf"/>
      </w:pPr>
      <w:r>
        <w:rPr/>
        <w:t xml:space="preserve">Nachdem ich mich also lange genung gefragt hatte, wie ich diese kleine Fabel </w:t>
      </w:r>
    </w:p>
    <w:p>
      <w:pPr>
        <w:pStyle w:val="stumpf"/>
      </w:pPr>
      <w:r>
        <w:rPr/>
        <w:t xml:space="preserve">auf mich selbst anwenden möchte, gab ich mir endlich folgende Antwort: </w:t>
      </w:r>
    </w:p>
    <w:p>
      <w:pPr>
        <w:framePr w:w="1000" w:hSpace="420" w:wrap="around" w:hAnchor="page" w:vAnchor="text" w:xAlign="left" w:y="0"/>
        <w:keepNext w:val="true"/>
        <w:pStyle w:val="seitenzählung"/>
      </w:pPr>
      <w:r>
        <w:rPr>
          <w:sz w:val="12"/>
          <w:b w:val="true"/>
        </w:rPr>
        <w:t>S. 267</w:t>
      </w:r>
      <w:r>
        <w:rPr/>
        <w:t xml:space="preserve"> </w:t>
      </w:r>
    </w:p>
    <w:p>
      <w:pPr>
        <w:pStyle w:val="stumpf"/>
      </w:pPr>
      <w:r>
        <w:rPr/>
        <w:t xml:space="preserve">Du würdest nicht klüger als diese Bärinn </w:t>
      </w:r>
      <w:r>
        <w:rPr/>
        <w:t xml:space="preserve">ha</w:t>
      </w:r>
      <w:r>
        <w:rPr>
          <w:strike w:val="true"/>
        </w:rPr>
        <w:t xml:space="preserve">tte</w:t>
      </w:r>
      <w:r>
        <w:rPr/>
        <w:t xml:space="preserve">ndeln</w:t>
      </w:r>
      <w:r>
        <w:rPr/>
        <w:t xml:space="preserve">, wenn du die </w:t>
      </w:r>
    </w:p>
    <w:p>
      <w:pPr>
        <w:pStyle w:val="stumpf"/>
      </w:pPr>
      <w:r>
        <w:rPr/>
        <w:t xml:space="preserve">Rauhigkeit und Unförmlichkeiten deines Naturells zu verwandeln dich bemühen </w:t>
      </w:r>
    </w:p>
    <w:p>
      <w:pPr>
        <w:pStyle w:val="stumpf"/>
      </w:pPr>
      <w:r>
        <w:rPr/>
        <w:t xml:space="preserve">wolltest. Es würde mir niemals gelingen den mürrischen Ernst meiner </w:t>
      </w:r>
    </w:p>
    <w:p>
      <w:pPr>
        <w:pStyle w:val="stumpf"/>
      </w:pPr>
      <w:r>
        <w:rPr/>
        <w:t xml:space="preserve">Vernunfft in den gaukelnden Witz eines Stutzers umzugießen. Laß diejenigen, die </w:t>
      </w:r>
    </w:p>
    <w:p>
      <w:pPr>
        <w:framePr w:w="1000" w:hSpace="420" w:wrap="around" w:hAnchor="page" w:vAnchor="text" w:xAlign="left" w:y="0"/>
        <w:keepNext w:val="true"/>
        <w:pStyle w:val="zeilenzählung"/>
      </w:pPr>
      <w:r>
        <w:rPr>
          <w:sz w:val="12"/>
        </w:rPr>
        <w:t>5</w:t>
      </w:r>
    </w:p>
    <w:p>
      <w:pPr>
        <w:pStyle w:val="stumpf"/>
      </w:pPr>
      <w:r>
        <w:rPr/>
        <w:t xml:space="preserve">zu den Höfen großer Herren geboren sind, weiche und seidene Kleider tragen; </w:t>
      </w:r>
    </w:p>
    <w:p>
      <w:pPr>
        <w:pStyle w:val="stumpf"/>
      </w:pPr>
      <w:r>
        <w:rPr/>
        <w:t xml:space="preserve">derjenige, welcher zu einem Prediger in der Wüsten beruffen ist, muß sich in </w:t>
      </w:r>
    </w:p>
    <w:p>
      <w:pPr>
        <w:pStyle w:val="stumpf"/>
      </w:pPr>
      <w:r>
        <w:rPr/>
        <w:t xml:space="preserve">Kameelshaaren kleiden und von Heuschrecken und wilden Honig leben. </w:t>
      </w:r>
    </w:p>
    <w:p>
      <w:pPr>
        <w:pStyle w:val="einzug"/>
      </w:pPr>
      <w:r>
        <w:rPr/>
        <w:t xml:space="preserve">Werden Sie es auch so machen, wie ich, mein lieber Baron und mir </w:t>
      </w:r>
    </w:p>
    <w:p>
      <w:pPr>
        <w:pStyle w:val="stumpf"/>
      </w:pPr>
      <w:r>
        <w:rPr/>
        <w:t xml:space="preserve">dasjenige mittheilen, was Sie für sich Selbst aus meinem Mährchen für eine </w:t>
      </w:r>
    </w:p>
    <w:p>
      <w:pPr>
        <w:framePr w:w="1000" w:hSpace="420" w:wrap="around" w:hAnchor="page" w:vAnchor="text" w:xAlign="left" w:y="0"/>
        <w:keepNext w:val="true"/>
        <w:pStyle w:val="zeilenzählung"/>
      </w:pPr>
      <w:r>
        <w:rPr>
          <w:sz w:val="12"/>
        </w:rPr>
        <w:t>10</w:t>
      </w:r>
    </w:p>
    <w:p>
      <w:pPr>
        <w:pStyle w:val="stumpf"/>
      </w:pPr>
      <w:r>
        <w:rPr/>
        <w:t xml:space="preserve">Sittenlehre gesogen haben. Sie wusten ehmals einige Verse, in denen Sie sich </w:t>
      </w:r>
    </w:p>
    <w:p>
      <w:pPr>
        <w:pStyle w:val="stumpf"/>
      </w:pPr>
      <w:r>
        <w:rPr/>
        <w:t xml:space="preserve">anheischig machten die Bienen nachzuahmen. </w:t>
      </w:r>
    </w:p>
    <w:p>
      <w:pPr>
        <w:pStyle w:val="vierfacheinzug"/>
      </w:pPr>
      <w:r>
        <w:rPr/>
        <w:t xml:space="preserve">O möcht ich doch wie ihr, geliebte Bienen seyn </w:t>
      </w:r>
    </w:p>
    <w:p>
      <w:pPr>
        <w:pStyle w:val="vierfacheinzug"/>
      </w:pPr>
      <w:r>
        <w:rPr/>
        <w:t xml:space="preserve">An innerm Geiste groß, obschon an Körper klein pp. </w:t>
      </w:r>
    </w:p>
    <w:p>
      <w:pPr>
        <w:pStyle w:val="einzug"/>
      </w:pPr>
      <w:r>
        <w:rPr/>
        <w:t xml:space="preserve">Da Sie sich so dreist an die Gnädige Gräfin gewandt haben um die </w:t>
      </w:r>
    </w:p>
    <w:p>
      <w:pPr>
        <w:framePr w:w="1000" w:hSpace="420" w:wrap="around" w:hAnchor="page" w:vAnchor="text" w:xAlign="left" w:y="0"/>
        <w:keepNext w:val="true"/>
        <w:pStyle w:val="zeilenzählung"/>
      </w:pPr>
      <w:r>
        <w:rPr>
          <w:sz w:val="12"/>
        </w:rPr>
        <w:t>15</w:t>
      </w:r>
    </w:p>
    <w:p>
      <w:pPr>
        <w:pStyle w:val="stumpf"/>
      </w:pPr>
      <w:r>
        <w:rPr/>
        <w:t xml:space="preserve">Vergeßenheit Ihres Versprechens gut zu machen; so werden Sie so gut seyn auch </w:t>
      </w:r>
    </w:p>
    <w:p>
      <w:pPr>
        <w:pStyle w:val="stumpf"/>
      </w:pPr>
      <w:r>
        <w:rPr/>
        <w:t xml:space="preserve">die Entschuldigung dieser Freyheit auf sich zu nehmen, und meinen </w:t>
      </w:r>
    </w:p>
    <w:p>
      <w:pPr>
        <w:pStyle w:val="stumpf"/>
      </w:pPr>
      <w:r>
        <w:rPr/>
        <w:t xml:space="preserve">unterthänigsten Dank für die huldreiche Herunterlaßung zu unsern kleinen </w:t>
      </w:r>
    </w:p>
    <w:p>
      <w:pPr>
        <w:pStyle w:val="stumpf"/>
      </w:pPr>
      <w:r>
        <w:rPr/>
        <w:t xml:space="preserve">Angelegenheiten, in meinem Namen mit aller Ehrfurcht bekennen. Ich wünsche </w:t>
      </w:r>
    </w:p>
    <w:p>
      <w:pPr>
        <w:pStyle w:val="stumpf"/>
      </w:pPr>
      <w:r>
        <w:rPr/>
        <w:t xml:space="preserve">zugleich Ihro Excellenz dem Gnädigen Herrn General eine glückliche </w:t>
      </w:r>
    </w:p>
    <w:p>
      <w:pPr>
        <w:framePr w:w="1000" w:hSpace="420" w:wrap="around" w:hAnchor="page" w:vAnchor="text" w:xAlign="left" w:y="0"/>
        <w:keepNext w:val="true"/>
        <w:pStyle w:val="zeilenzählung"/>
      </w:pPr>
      <w:r>
        <w:rPr>
          <w:sz w:val="12"/>
        </w:rPr>
        <w:t>20</w:t>
      </w:r>
    </w:p>
    <w:p>
      <w:pPr>
        <w:pStyle w:val="stumpf"/>
      </w:pPr>
      <w:r>
        <w:rPr/>
        <w:t xml:space="preserve">Zurückkunfft von Ihrer Reise, der ich nach den verbindlichsten Grüßen an die </w:t>
      </w:r>
    </w:p>
    <w:p>
      <w:pPr>
        <w:pStyle w:val="stumpf"/>
      </w:pPr>
      <w:r>
        <w:rPr/>
        <w:t xml:space="preserve">Fräulein Schwester und kleinen Herrn Bruder verharre Meines lieben Barons, </w:t>
      </w:r>
    </w:p>
    <w:p>
      <w:pPr>
        <w:pStyle w:val="stumpf"/>
      </w:pPr>
      <w:r>
        <w:rPr/>
        <w:t xml:space="preserve">ergebener Diener. </w:t>
      </w:r>
    </w:p>
    <w:p>
      <w:pPr>
        <w:pStyle w:val="einzug"/>
      </w:pPr>
      <w:r>
        <w:rPr/>
        <w:t xml:space="preserve">Riga. den 17. </w:t>
      </w:r>
      <w:r>
        <w:rPr>
          <w:rFonts w:ascii="Linux Biolinum" w:hAnsi="Linux Biolinum" w:cs="Linux Biolinum"/>
        </w:rPr>
        <w:t xml:space="preserve">Octobr.</w:t>
      </w:r>
      <w:r>
        <w:rPr/>
        <w:t xml:space="preserve"> 1758.</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einzug"/>
      </w:pPr>
      <w:r>
        <w:rPr>
          <w:i w:val="true"/>
          <w:color w:val="#7d7d74"/>
        </w:rPr>
        <w:t xml:space="preserve">Adresse:</w:t>
      </w:r>
      <w:r>
        <w:rPr/>
        <w:t xml:space="preserve"> </w:t>
      </w:r>
    </w:p>
    <w:p>
      <w:pPr>
        <w:framePr w:w="1000" w:hSpace="420" w:wrap="around" w:hAnchor="page" w:vAnchor="text" w:xAlign="left" w:y="0"/>
        <w:keepNext w:val="true"/>
        <w:pStyle w:val="zeilenzählung"/>
      </w:pPr>
      <w:r>
        <w:rPr>
          <w:sz w:val="12"/>
        </w:rPr>
        <w:t>25</w:t>
      </w:r>
    </w:p>
    <w:p>
      <w:pPr>
        <w:pStyle w:val="einzug"/>
      </w:pPr>
      <w:r>
        <w:rPr>
          <w:rFonts w:ascii="Linux Biolinum" w:hAnsi="Linux Biolinum" w:cs="Linux Biolinum"/>
        </w:rPr>
        <w:t xml:space="preserve">à Monsieur / Monsieur Joseph le Baron / de Witten, / à Grunhoff.</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40.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323–325.</w:t>
      </w:r>
    </w:p>
    <w:p>
      <w:pPr>
        <w:pStyle w:val="stumpf"/>
      </w:pPr>
      <w:r>
        <w:rPr>
          <w:rFonts w:ascii="Linux Biolinum" w:hAnsi="Linux Biolinum" w:cs="Linux Biolinum"/>
        </w:rPr>
        <w:t xml:space="preserve">ZH I 266f., Nr. 124.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267/1 </w:t>
      </w:r>
      <w:r>
        <w:rPr/>
        <w:t xml:space="preserve">ha</w:t>
      </w:r>
      <w:r>
        <w:rPr>
          <w:strike w:val="true"/>
        </w:rPr>
        <w:t xml:space="preserve">tte</w:t>
      </w:r>
      <w:r>
        <w:rPr/>
        <w:t xml:space="preserve">ndeln</w:t>
      </w:r>
      <w:r>
        <w:t xml:space="preserve">] </w:t>
      </w:r>
      <w:r>
        <w:rPr/>
        <w:t xml:space="preserve">Geändert nach Druckbogen 1940; ZH: </w:t>
      </w:r>
      <w:r>
        <w:rPr/>
        <w:t xml:space="preserve">h</w:t>
      </w:r>
      <w:r>
        <w:rPr>
          <w:strike w:val="true"/>
        </w:rPr>
        <w:t xml:space="preserve">atte</w:t>
      </w:r>
      <w:r>
        <w:rPr/>
        <w:t xml:space="preserve">andeln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266/18</w:t>
      </w:r>
      <w:r>
        <w:rPr/>
        <w:t xml:space="preserve"> Zweizeiler aus einer Schulfibel; zitiert auch in N III S. 207 </w:t>
      </w:r>
    </w:p>
    <w:p>
      <w:pPr>
        <w:pStyle w:val="kommentar"/>
      </w:pPr>
      <w:r>
        <w:rPr>
          <w:b w:val="true"/>
          <w:sz w:val="16"/>
        </w:rPr>
        <w:t xml:space="preserve">266/24</w:t>
      </w:r>
      <w:r>
        <w:rPr/>
        <w:t xml:space="preserve"> </w:t>
      </w:r>
      <w:r>
        <w:rPr/>
        <w:t xml:space="preserve">Ov. </w:t>
      </w:r>
      <w:r>
        <w:rPr>
          <w:i w:val="true"/>
        </w:rPr>
        <w:t xml:space="preserve">met.</w:t>
      </w:r>
      <w:r>
        <w:rPr/>
      </w:r>
      <w:r>
        <w:rPr/>
        <w:t xml:space="preserve"> 15,379f., </w:t>
      </w:r>
      <w:r>
        <w:rPr/>
        <w:t xml:space="preserve">Gell. 17,10</w:t>
      </w:r>
      <w:r>
        <w:rPr/>
        <w:t xml:space="preserve">; vgl. auch </w:t>
      </w:r>
      <w:r>
        <w:rPr/>
        <w:t xml:space="preserve">Zimmermann, </w:t>
      </w:r>
      <w:r>
        <w:rPr>
          <w:i w:val="true"/>
        </w:rPr>
        <w:t xml:space="preserve">Von dem Nationalstolze</w:t>
      </w:r>
      <w:r>
        <w:rPr/>
      </w:r>
      <w:r>
        <w:rPr/>
        <w:t xml:space="preserve">, S. XXV, wo dieses Bild auf die Bearbeitung von Texten angewandt wird, mit Verweis auf eine Selbstbeschreibung Vergils.  </w:t>
      </w:r>
    </w:p>
    <w:p>
      <w:pPr>
        <w:pStyle w:val="kommentar"/>
      </w:pPr>
      <w:r>
        <w:rPr>
          <w:b w:val="true"/>
          <w:sz w:val="16"/>
        </w:rPr>
        <w:t xml:space="preserve">266/25</w:t>
      </w:r>
      <w:r>
        <w:rPr/>
        <w:t xml:space="preserve"> </w:t>
      </w:r>
      <w:r>
        <w:rPr>
          <w:rFonts w:ascii="Linux Libertine G" w:hAnsi="Linux Libertine G" w:cs="Linux Libertine G"/>
        </w:rPr>
        <w:t xml:space="preserve">Mährchen</w:t>
        <w:t>]</w:t>
      </w:r>
      <w:r>
        <w:rPr/>
        <w:t xml:space="preserve"> nicht ermittelt </w:t>
      </w:r>
    </w:p>
    <w:p>
      <w:pPr>
        <w:pStyle w:val="kommentar"/>
      </w:pPr>
      <w:r>
        <w:rPr>
          <w:b w:val="true"/>
          <w:sz w:val="16"/>
        </w:rPr>
        <w:t xml:space="preserve">267/6</w:t>
      </w:r>
      <w:r>
        <w:rPr/>
        <w:t xml:space="preserve"> Johannes der Täufer, </w:t>
      </w:r>
      <w:r>
        <w:rPr/>
        <w:t xml:space="preserve">Mk 1,3–6</w:t>
      </w:r>
      <w:r>
        <w:rPr/>
        <w:t xml:space="preserve"> </w:t>
      </w:r>
    </w:p>
    <w:p>
      <w:pPr>
        <w:pStyle w:val="kommentar"/>
      </w:pPr>
      <w:r>
        <w:rPr>
          <w:b w:val="true"/>
          <w:sz w:val="16"/>
        </w:rPr>
        <w:t xml:space="preserve">267/12</w:t>
      </w:r>
      <w:r>
        <w:rPr/>
        <w:t xml:space="preserve"> Die ersten Verse des Gedichts »An die Bienen« von </w:t>
      </w:r>
      <w:r>
        <w:rPr/>
        <w:t xml:space="preserve">Johann Nicolaus Götz</w:t>
      </w:r>
      <w:r>
        <w:rPr/>
      </w:r>
      <w:r>
        <w:rPr/>
        <w:t xml:space="preserve">, das in versch. Anthologien und versch. Versionen gedruckt vorlag. </w:t>
      </w:r>
      <w:r>
        <w:t>HKB 129 (I  278/32)</w:t>
      </w:r>
      <w:r>
        <w:rPr/>
      </w:r>
      <w:r>
        <w:rPr/>
        <w:t xml:space="preserve"> </w:t>
      </w:r>
    </w:p>
    <w:p>
      <w:pPr>
        <w:pStyle w:val="kommentar"/>
      </w:pPr>
      <w:r>
        <w:rPr>
          <w:b w:val="true"/>
          <w:sz w:val="16"/>
        </w:rPr>
        <w:t xml:space="preserve">267/14</w:t>
      </w:r>
      <w:r>
        <w:rPr/>
        <w:t xml:space="preserve"> </w:t>
      </w:r>
      <w:r>
        <w:rPr/>
        <w:t xml:space="preserve">Apollonia Baronin v. Witten</w:t>
      </w:r>
      <w:r>
        <w:rPr/>
      </w:r>
      <w:r>
        <w:rPr/>
        <w:t xml:space="preserve"> </w:t>
      </w:r>
    </w:p>
    <w:p>
      <w:pPr>
        <w:pStyle w:val="kommentar"/>
      </w:pPr>
      <w:r>
        <w:rPr>
          <w:b w:val="true"/>
          <w:sz w:val="16"/>
        </w:rPr>
        <w:t xml:space="preserve">267/19</w:t>
      </w:r>
      <w:r>
        <w:rPr/>
        <w:t xml:space="preserve"> </w:t>
      </w:r>
      <w:r>
        <w:rPr/>
        <w:t xml:space="preserve">Christopher Wilhelm Baron v. Witten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267/21</w:t>
      </w:r>
      <w:r>
        <w:rPr/>
        <w:t xml:space="preserve"> </w:t>
      </w:r>
      <w:r>
        <w:rPr/>
        <w:t xml:space="preserve">Philippine Elisabeth</w:t>
      </w:r>
      <w:r>
        <w:rPr/>
        <w:t xml:space="preserve"> u. </w:t>
      </w:r>
      <w:r>
        <w:rPr/>
        <w:t xml:space="preserve">Franz Gideon Wilhelm Baron v. Witten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124 (I 266‒267)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e5fd52007ef42f4" /><Relationship Type="http://schemas.openxmlformats.org/officeDocument/2006/relationships/footer" Target="/word/footer1.xml" Id="default" /></Relationships>
</file>