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483c84376c4fe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270‒272</w:t>
      </w:r>
      <w:r>
        <w:br/>
      </w:r>
    </w:p>
    <w:p>
      <w:pPr>
        <w:pStyle w:val="linksbündig"/>
      </w:pPr>
      <w:r>
        <w:rPr>
          <w:sz w:val="32"/>
          <w:b w:val="true"/>
        </w:rPr>
        <w:t>126</w:t>
      </w:r>
    </w:p>
    <w:p>
      <w:pPr>
        <w:pStyle w:val="linksbündig"/>
      </w:pPr>
      <w:r>
        <w:rPr>
          <w:b w:val="true"/>
        </w:rPr>
        <w:t>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270, 2</w:t>
      </w:r>
    </w:p>
    <w:p>
      <w:pPr>
        <w:pStyle w:val="zentriert"/>
      </w:pPr>
      <w:r>
        <w:rPr>
          <w:u w:val="single"/>
        </w:rPr>
        <w:t xml:space="preserve">Zweeter Brief</w:t>
      </w:r>
      <w:r>
        <w:rPr/>
        <w:t xml:space="preserve">.</w:t>
      </w:r>
      <w:r>
        <w:rPr/>
        <w:t xml:space="preserve"> </w:t>
      </w:r>
    </w:p>
    <w:p>
      <w:pPr>
        <w:pStyle w:val="doppeleinzug"/>
      </w:pPr>
      <w:r>
        <w:rPr/>
        <w:t xml:space="preserve">Mein Herr, </w:t>
      </w:r>
    </w:p>
    <w:p>
      <w:pPr>
        <w:pStyle w:val="stumpf"/>
      </w:pPr>
      <w:r>
        <w:rPr/>
        <w:t xml:space="preserve">Sie wißen, daß ich einen kleinen Anfang in der Physick gemacht. Ich habe </w:t>
      </w:r>
    </w:p>
    <w:p>
      <w:pPr>
        <w:framePr w:w="1000" w:hSpace="420" w:wrap="around" w:hAnchor="page" w:vAnchor="text" w:xAlign="left" w:y="0"/>
        <w:keepNext w:val="true"/>
        <w:pStyle w:val="zeilenzählung"/>
      </w:pPr>
      <w:r>
        <w:rPr>
          <w:sz w:val="12"/>
        </w:rPr>
        <w:t>5</w:t>
      </w:r>
    </w:p>
    <w:p>
      <w:pPr>
        <w:pStyle w:val="stumpf"/>
      </w:pPr>
      <w:r>
        <w:rPr/>
        <w:t xml:space="preserve">dabey bemerkt, daß die Naturforscher einen Körper in allerhand </w:t>
      </w:r>
    </w:p>
    <w:p>
      <w:pPr>
        <w:pStyle w:val="stumpf"/>
      </w:pPr>
      <w:r>
        <w:rPr/>
        <w:t xml:space="preserve">Verbindungen setzen, auf die Veränderungen deßelben unter solchen Umständen Acht </w:t>
      </w:r>
    </w:p>
    <w:p>
      <w:pPr>
        <w:pStyle w:val="stumpf"/>
      </w:pPr>
      <w:r>
        <w:rPr/>
        <w:t xml:space="preserve">geben, und durch dergleichen Versuche Entdeckungen von Ihren Eigenschafften </w:t>
      </w:r>
    </w:p>
    <w:p>
      <w:pPr>
        <w:pStyle w:val="stumpf"/>
      </w:pPr>
      <w:r>
        <w:rPr/>
        <w:t xml:space="preserve">machen. Ebenso habe ich es mit dem Worte Beruff angegriffen, es in </w:t>
      </w:r>
    </w:p>
    <w:p>
      <w:pPr>
        <w:pStyle w:val="stumpf"/>
      </w:pPr>
      <w:r>
        <w:rPr/>
        <w:t xml:space="preserve">mancherley Redensarten eingeflochten und diejenigen Begriffe wahrgenommen, die </w:t>
      </w:r>
    </w:p>
    <w:p>
      <w:pPr>
        <w:framePr w:w="1000" w:hSpace="420" w:wrap="around" w:hAnchor="page" w:vAnchor="text" w:xAlign="left" w:y="0"/>
        <w:keepNext w:val="true"/>
        <w:pStyle w:val="zeilenzählung"/>
      </w:pPr>
      <w:r>
        <w:rPr>
          <w:sz w:val="12"/>
        </w:rPr>
        <w:t>10</w:t>
      </w:r>
    </w:p>
    <w:p>
      <w:pPr>
        <w:pStyle w:val="stumpf"/>
      </w:pPr>
      <w:r>
        <w:rPr/>
        <w:t xml:space="preserve">in meinem Verstande entstehen, wenn jemand sagt: das ist mein Beruff, das </w:t>
      </w:r>
    </w:p>
    <w:p>
      <w:pPr>
        <w:pStyle w:val="stumpf"/>
      </w:pPr>
      <w:r>
        <w:rPr/>
        <w:t xml:space="preserve">gehört nicht zu meinem Beruff, ich habe keinen Beruff dazu, ich sehe es als </w:t>
      </w:r>
    </w:p>
    <w:p>
      <w:pPr>
        <w:pStyle w:val="stumpf"/>
      </w:pPr>
      <w:r>
        <w:rPr/>
        <w:t xml:space="preserve">einen Beruff an v. s. w. </w:t>
      </w:r>
    </w:p>
    <w:p>
      <w:pPr>
        <w:pStyle w:val="einzug"/>
      </w:pPr>
      <w:r>
        <w:rPr/>
        <w:t xml:space="preserve">In allen diesen Redensarten versteht man eine Verbindlichkeit, die </w:t>
      </w:r>
    </w:p>
    <w:p>
      <w:pPr>
        <w:pStyle w:val="stumpf"/>
      </w:pPr>
      <w:r>
        <w:rPr/>
        <w:t xml:space="preserve">entweder aus gewißen Gründen folgt, oder sich auf gewiße Pflichten </w:t>
      </w:r>
    </w:p>
    <w:p>
      <w:pPr>
        <w:framePr w:w="1000" w:hSpace="420" w:wrap="around" w:hAnchor="page" w:vAnchor="text" w:xAlign="left" w:y="0"/>
        <w:keepNext w:val="true"/>
        <w:pStyle w:val="zeilenzählung"/>
      </w:pPr>
      <w:r>
        <w:rPr>
          <w:sz w:val="12"/>
        </w:rPr>
        <w:t>15</w:t>
      </w:r>
    </w:p>
    <w:p>
      <w:pPr>
        <w:pStyle w:val="stumpf"/>
      </w:pPr>
      <w:r>
        <w:rPr/>
        <w:t xml:space="preserve">bezieht. Dies ist aber noch zu allgemein; denn nicht jede </w:t>
      </w:r>
    </w:p>
    <w:p>
      <w:pPr>
        <w:pStyle w:val="stumpf"/>
      </w:pPr>
      <w:r>
        <w:rPr/>
        <w:t xml:space="preserve">Verbindlichkeit wird ein Beruff genannt, sondern nur eine solche, welche den Gebrauch </w:t>
      </w:r>
    </w:p>
    <w:p>
      <w:pPr>
        <w:pStyle w:val="stumpf"/>
      </w:pPr>
      <w:r>
        <w:rPr/>
        <w:t xml:space="preserve">unsers Lebens zu einem gewißen Endzweck, und die Anwendung unserer </w:t>
      </w:r>
    </w:p>
    <w:p>
      <w:pPr>
        <w:pStyle w:val="stumpf"/>
      </w:pPr>
      <w:r>
        <w:rPr/>
        <w:t xml:space="preserve">Kräfte zu gewißen Uebungen, Geschäften und Handlungen, betrift. Die </w:t>
      </w:r>
    </w:p>
    <w:p>
      <w:pPr>
        <w:pStyle w:val="stumpf"/>
      </w:pPr>
      <w:r>
        <w:rPr/>
        <w:t xml:space="preserve">Gründe also, die mich bewegen diese oder jene Bestimmung von meinem </w:t>
      </w:r>
    </w:p>
    <w:p>
      <w:pPr>
        <w:framePr w:w="1000" w:hSpace="420" w:wrap="around" w:hAnchor="page" w:vAnchor="text" w:xAlign="left" w:y="0"/>
        <w:keepNext w:val="true"/>
        <w:pStyle w:val="zeilenzählung"/>
      </w:pPr>
      <w:r>
        <w:rPr>
          <w:sz w:val="12"/>
        </w:rPr>
        <w:t>20</w:t>
      </w:r>
    </w:p>
    <w:p>
      <w:pPr>
        <w:pStyle w:val="stumpf"/>
      </w:pPr>
      <w:r>
        <w:rPr/>
        <w:t xml:space="preserve">Leben, und allem dem, was dazu gerechnet werden kann, zu machen, </w:t>
      </w:r>
    </w:p>
    <w:p>
      <w:pPr>
        <w:pStyle w:val="stumpf"/>
      </w:pPr>
      <w:r>
        <w:rPr/>
        <w:t xml:space="preserve">werden als ein Beruff angesehen. Dies scheint mir die erste Bedeutung des </w:t>
      </w:r>
    </w:p>
    <w:p>
      <w:pPr>
        <w:pStyle w:val="stumpf"/>
      </w:pPr>
      <w:r>
        <w:rPr/>
        <w:t xml:space="preserve">Wortes zu seyn. </w:t>
      </w:r>
    </w:p>
    <w:p>
      <w:pPr>
        <w:pStyle w:val="einzug"/>
      </w:pPr>
      <w:r>
        <w:rPr/>
        <w:t xml:space="preserve">Der Beruf zu einer gewißen Lebensart liegt öfters in einer Neigung oder </w:t>
      </w:r>
    </w:p>
    <w:p>
      <w:pPr>
        <w:pStyle w:val="stumpf"/>
      </w:pPr>
      <w:r>
        <w:rPr/>
        <w:t xml:space="preserve">Lust, in einer herrschenden Leidenschaft, der ich ein Genüge zu thun suche, in </w:t>
      </w:r>
    </w:p>
    <w:p>
      <w:pPr>
        <w:framePr w:w="1000" w:hSpace="420" w:wrap="around" w:hAnchor="page" w:vAnchor="text" w:xAlign="left" w:y="0"/>
        <w:keepNext w:val="true"/>
        <w:pStyle w:val="zeilenzählung"/>
      </w:pPr>
      <w:r>
        <w:rPr>
          <w:sz w:val="12"/>
        </w:rPr>
        <w:t>25</w:t>
      </w:r>
    </w:p>
    <w:p>
      <w:pPr>
        <w:pStyle w:val="stumpf"/>
      </w:pPr>
      <w:r>
        <w:rPr/>
        <w:t xml:space="preserve">Naturgaben v Fähigkeiten, in dem Willen derjenigen, von denen wir </w:t>
      </w:r>
    </w:p>
    <w:p>
      <w:pPr>
        <w:pStyle w:val="stumpf"/>
      </w:pPr>
      <w:r>
        <w:rPr/>
        <w:t xml:space="preserve">abhängen, in dem Exempel derer, mit denen wir umgehen; in Umständen, Zufällen, </w:t>
      </w:r>
    </w:p>
    <w:p>
      <w:pPr>
        <w:pStyle w:val="stumpf"/>
      </w:pPr>
      <w:r>
        <w:rPr/>
        <w:t xml:space="preserve">Vorurtheilen liegt die Ursache, warum ich mein Leben diesem oder jenem </w:t>
      </w:r>
    </w:p>
    <w:p>
      <w:pPr>
        <w:pStyle w:val="stumpf"/>
      </w:pPr>
      <w:r>
        <w:rPr/>
        <w:t xml:space="preserve">Gegenstande oder Endzwecke wiedme, und alle die Kräfte und Zugehör meines </w:t>
      </w:r>
    </w:p>
    <w:p>
      <w:pPr>
        <w:pStyle w:val="stumpf"/>
      </w:pPr>
      <w:r>
        <w:rPr/>
        <w:t xml:space="preserve">Lebens den Mitteln diesen Endzweck zu erreichen. Daß aber eine Sache zu </w:t>
      </w:r>
    </w:p>
    <w:p>
      <w:pPr>
        <w:framePr w:w="1000" w:hSpace="420" w:wrap="around" w:hAnchor="page" w:vAnchor="text" w:xAlign="left" w:y="0"/>
        <w:keepNext w:val="true"/>
        <w:pStyle w:val="zeilenzählung"/>
      </w:pPr>
      <w:r>
        <w:rPr>
          <w:sz w:val="12"/>
        </w:rPr>
        <w:t>30</w:t>
      </w:r>
    </w:p>
    <w:p>
      <w:pPr>
        <w:pStyle w:val="stumpf"/>
      </w:pPr>
      <w:r>
        <w:rPr/>
        <w:t xml:space="preserve">einem Bewegungsgrunde werde diese oder jene Wahl in den Absichten und </w:t>
      </w:r>
    </w:p>
    <w:p>
      <w:pPr>
        <w:pStyle w:val="stumpf"/>
      </w:pPr>
      <w:r>
        <w:rPr/>
        <w:t xml:space="preserve">Beschäfftigungen des Lebens zu treffen, oder daß eine Verbindlichkeit des </w:t>
      </w:r>
    </w:p>
    <w:p>
      <w:pPr>
        <w:pStyle w:val="stumpf"/>
      </w:pPr>
      <w:r>
        <w:rPr/>
        <w:t xml:space="preserve">Beruffs daraus entstehe – hiezu ist nöthig in einer solchen Sache eine gewiße </w:t>
      </w:r>
    </w:p>
    <w:p>
      <w:pPr>
        <w:pStyle w:val="stumpf"/>
      </w:pPr>
      <w:r>
        <w:rPr/>
        <w:t xml:space="preserve">Beziehung, Uebereinstimmung und Füglichkeit auf uns Selbst oder die Liebe </w:t>
      </w:r>
    </w:p>
    <w:p>
      <w:pPr>
        <w:pStyle w:val="stumpf"/>
      </w:pPr>
      <w:r>
        <w:rPr/>
        <w:t xml:space="preserve">die wir uns schuldig sind, wahrzunehmen. Hierin würde also die erste </w:t>
      </w:r>
    </w:p>
    <w:p>
      <w:pPr>
        <w:framePr w:w="1000" w:hSpace="420" w:wrap="around" w:hAnchor="page" w:vAnchor="text" w:xAlign="left" w:y="0"/>
        <w:keepNext w:val="true"/>
        <w:pStyle w:val="zeilenzählung"/>
      </w:pPr>
      <w:r>
        <w:rPr>
          <w:sz w:val="12"/>
        </w:rPr>
        <w:t>35</w:t>
      </w:r>
    </w:p>
    <w:p>
      <w:pPr>
        <w:pStyle w:val="stumpf"/>
      </w:pPr>
      <w:r>
        <w:rPr/>
        <w:t xml:space="preserve">Bedeutung des Beruffs bestehen, deßen allgemeiner und abgesonderter Begriff </w:t>
      </w:r>
    </w:p>
    <w:p>
      <w:pPr>
        <w:pStyle w:val="stumpf"/>
      </w:pPr>
      <w:r>
        <w:rPr/>
        <w:t xml:space="preserve">im gemeinem Leben auf einige Ämter eingeschränkt wird. – Laßt uns jetzt die </w:t>
      </w:r>
    </w:p>
    <w:p>
      <w:pPr>
        <w:framePr w:w="1000" w:hSpace="420" w:wrap="around" w:hAnchor="page" w:vAnchor="text" w:xAlign="left" w:y="0"/>
        <w:keepNext w:val="true"/>
        <w:pStyle w:val="seitenzählung"/>
      </w:pPr>
      <w:r>
        <w:rPr>
          <w:sz w:val="12"/>
          <w:b w:val="true"/>
        </w:rPr>
        <w:t>S. 271</w:t>
      </w:r>
      <w:r>
        <w:rPr/>
        <w:t xml:space="preserve"> </w:t>
      </w:r>
    </w:p>
    <w:p>
      <w:pPr>
        <w:pStyle w:val="stumpf"/>
      </w:pPr>
      <w:r>
        <w:rPr/>
        <w:t xml:space="preserve">Anwendung davon auf den Beruf des Edelmanns machen. In diesem </w:t>
      </w:r>
    </w:p>
    <w:p>
      <w:pPr>
        <w:pStyle w:val="stumpf"/>
      </w:pPr>
      <w:r>
        <w:rPr/>
        <w:t xml:space="preserve">Verstande würde derselbe ungefehr folgende Frage in sich schlüßen: Giebt es </w:t>
      </w:r>
    </w:p>
    <w:p>
      <w:pPr>
        <w:pStyle w:val="stumpf"/>
      </w:pPr>
      <w:r>
        <w:rPr/>
        <w:t xml:space="preserve">in dem Stande und in der Natur des Adels gewiße Bestimmungen, die sich </w:t>
      </w:r>
    </w:p>
    <w:p>
      <w:pPr>
        <w:pStyle w:val="stumpf"/>
      </w:pPr>
      <w:r>
        <w:rPr/>
        <w:t xml:space="preserve">auf einige Gegenstände mehr als auf andere beziehen? Was sind das für </w:t>
      </w:r>
    </w:p>
    <w:p>
      <w:pPr>
        <w:framePr w:w="1000" w:hSpace="420" w:wrap="around" w:hAnchor="page" w:vAnchor="text" w:xAlign="left" w:y="0"/>
        <w:keepNext w:val="true"/>
        <w:pStyle w:val="zeilenzählung"/>
      </w:pPr>
      <w:r>
        <w:rPr>
          <w:sz w:val="12"/>
        </w:rPr>
        <w:t>5</w:t>
      </w:r>
    </w:p>
    <w:p>
      <w:pPr>
        <w:pStyle w:val="stumpf"/>
      </w:pPr>
      <w:r>
        <w:rPr/>
        <w:t xml:space="preserve">Gegenstände, zu denen ein Edelmann mehr Ursache hat, mehr Gelegenheit, </w:t>
      </w:r>
    </w:p>
    <w:p>
      <w:pPr>
        <w:pStyle w:val="stumpf"/>
      </w:pPr>
      <w:r>
        <w:rPr/>
        <w:t xml:space="preserve">eine fügligere Lage, wie der Bürger und Bauer, und die ihn verbindlich </w:t>
      </w:r>
    </w:p>
    <w:p>
      <w:pPr>
        <w:pStyle w:val="stumpf"/>
      </w:pPr>
      <w:r>
        <w:rPr/>
        <w:t xml:space="preserve">machen eine besondere Richtung seinen Kräfften und seinem Fleiß zu </w:t>
      </w:r>
    </w:p>
    <w:p>
      <w:pPr>
        <w:pStyle w:val="stumpf"/>
      </w:pPr>
      <w:r>
        <w:rPr/>
        <w:t xml:space="preserve">geben? Gesetzt der Adel wäre nichts als ein Vorurtheil oder eine Hypothese, </w:t>
      </w:r>
    </w:p>
    <w:p>
      <w:pPr>
        <w:pStyle w:val="stumpf"/>
      </w:pPr>
      <w:r>
        <w:rPr/>
        <w:t xml:space="preserve">so behielte er gleichwol sein Augenmerk, das man niemals aus dem </w:t>
      </w:r>
    </w:p>
    <w:p>
      <w:pPr>
        <w:framePr w:w="1000" w:hSpace="420" w:wrap="around" w:hAnchor="page" w:vAnchor="text" w:xAlign="left" w:y="0"/>
        <w:keepNext w:val="true"/>
        <w:pStyle w:val="zeilenzählung"/>
      </w:pPr>
      <w:r>
        <w:rPr>
          <w:sz w:val="12"/>
        </w:rPr>
        <w:t>10</w:t>
      </w:r>
    </w:p>
    <w:p>
      <w:pPr>
        <w:pStyle w:val="stumpf"/>
      </w:pPr>
      <w:r>
        <w:rPr/>
        <w:t xml:space="preserve">Gesichte verlieren muß, um den grösten Nutzen davon in der Gesellschafft zu </w:t>
      </w:r>
    </w:p>
    <w:p>
      <w:pPr>
        <w:pStyle w:val="stumpf"/>
      </w:pPr>
      <w:r>
        <w:rPr/>
        <w:t xml:space="preserve">ziehen und den besten Gebrauch davon zu machen. Aus diesem </w:t>
      </w:r>
    </w:p>
    <w:p>
      <w:pPr>
        <w:pStyle w:val="stumpf"/>
      </w:pPr>
      <w:r>
        <w:rPr/>
        <w:t xml:space="preserve">Gesichtspunct muß der Edelmann die Bestimmung betrachten, nach der er sich zu </w:t>
      </w:r>
    </w:p>
    <w:p>
      <w:pPr>
        <w:pStyle w:val="stumpf"/>
      </w:pPr>
      <w:r>
        <w:rPr/>
        <w:t xml:space="preserve">bilden, und die Ehre seiner Geburt wahrscheinlich zu machen suchen muß. Alle </w:t>
      </w:r>
    </w:p>
    <w:p>
      <w:pPr>
        <w:pStyle w:val="stumpf"/>
      </w:pPr>
      <w:r>
        <w:rPr/>
        <w:t xml:space="preserve">Theile seines Lebens müßen sich auf diesen Gegenstand als ihren </w:t>
      </w:r>
    </w:p>
    <w:p>
      <w:pPr>
        <w:framePr w:w="1000" w:hSpace="420" w:wrap="around" w:hAnchor="page" w:vAnchor="text" w:xAlign="left" w:y="0"/>
        <w:keepNext w:val="true"/>
        <w:pStyle w:val="zeilenzählung"/>
      </w:pPr>
      <w:r>
        <w:rPr>
          <w:sz w:val="12"/>
        </w:rPr>
        <w:t>15</w:t>
      </w:r>
    </w:p>
    <w:p>
      <w:pPr>
        <w:pStyle w:val="stumpf"/>
      </w:pPr>
      <w:r>
        <w:rPr/>
        <w:t xml:space="preserve">Mittelpunct beziehen. – – </w:t>
      </w:r>
    </w:p>
    <w:p>
      <w:pPr>
        <w:pStyle w:val="einzug"/>
      </w:pPr>
      <w:r>
        <w:rPr/>
        <w:t xml:space="preserve">Die zwote Bedeutung eines Berufs zeigt eine Verbindlichkeit zu gewißen </w:t>
      </w:r>
    </w:p>
    <w:p>
      <w:pPr>
        <w:pStyle w:val="stumpf"/>
      </w:pPr>
      <w:r>
        <w:rPr/>
        <w:t xml:space="preserve">Pflichten an, die aus meiner getroffenen Wahl folgen, nach der ich schuldig </w:t>
      </w:r>
    </w:p>
    <w:p>
      <w:pPr>
        <w:pStyle w:val="stumpf"/>
      </w:pPr>
      <w:r>
        <w:rPr/>
        <w:t xml:space="preserve">oder willens bin meine Kräffte und meine Zeit anzuwenden, oder meine </w:t>
      </w:r>
    </w:p>
    <w:p>
      <w:pPr>
        <w:pStyle w:val="stumpf"/>
      </w:pPr>
      <w:r>
        <w:rPr/>
        <w:t xml:space="preserve">Fähigkeiten und Handlungen einzurichten. Alles dasjenige was aus dieser </w:t>
      </w:r>
    </w:p>
    <w:p>
      <w:pPr>
        <w:framePr w:w="1000" w:hSpace="420" w:wrap="around" w:hAnchor="page" w:vAnchor="text" w:xAlign="left" w:y="0"/>
        <w:keepNext w:val="true"/>
        <w:pStyle w:val="zeilenzählung"/>
      </w:pPr>
      <w:r>
        <w:rPr>
          <w:sz w:val="12"/>
        </w:rPr>
        <w:t>20</w:t>
      </w:r>
    </w:p>
    <w:p>
      <w:pPr>
        <w:pStyle w:val="stumpf"/>
      </w:pPr>
      <w:r>
        <w:rPr/>
        <w:t xml:space="preserve">Wahl folgt, gehört zum Beruff; was aber selbige aufhebt oder ihr zuwieder </w:t>
      </w:r>
    </w:p>
    <w:p>
      <w:pPr>
        <w:pStyle w:val="stumpf"/>
      </w:pPr>
      <w:r>
        <w:rPr/>
        <w:t xml:space="preserve">ist, entfernt mich von demselben – – Ich will mich jetzt nicht damit aufhalten, </w:t>
      </w:r>
    </w:p>
    <w:p>
      <w:pPr>
        <w:pStyle w:val="stumpf"/>
      </w:pPr>
      <w:r>
        <w:rPr/>
        <w:t xml:space="preserve">die Ähnlichkeit und den Unterscheid dieser letzten Erklärung von der ersteren </w:t>
      </w:r>
    </w:p>
    <w:p>
      <w:pPr>
        <w:pStyle w:val="stumpf"/>
      </w:pPr>
      <w:r>
        <w:rPr/>
        <w:t xml:space="preserve">genauer anzusehen, gegen einander zu halten, noch zu untersuchen, in wie </w:t>
      </w:r>
    </w:p>
    <w:p>
      <w:pPr>
        <w:pStyle w:val="stumpf"/>
      </w:pPr>
      <w:r>
        <w:rPr/>
        <w:t xml:space="preserve">fern der letztere von dem ersteren abhänge. Es gehört mehr zur Sache die </w:t>
      </w:r>
    </w:p>
    <w:p>
      <w:pPr>
        <w:framePr w:w="1000" w:hSpace="420" w:wrap="around" w:hAnchor="page" w:vAnchor="text" w:xAlign="left" w:y="0"/>
        <w:keepNext w:val="true"/>
        <w:pStyle w:val="zeilenzählung"/>
      </w:pPr>
      <w:r>
        <w:rPr>
          <w:sz w:val="12"/>
        </w:rPr>
        <w:t>25</w:t>
      </w:r>
    </w:p>
    <w:p>
      <w:pPr>
        <w:pStyle w:val="stumpf"/>
      </w:pPr>
      <w:r>
        <w:rPr/>
        <w:t xml:space="preserve">Anwendung jetzt auf den Edelmann zu machen. In diesem Verstande wird durch </w:t>
      </w:r>
    </w:p>
    <w:p>
      <w:pPr>
        <w:pStyle w:val="stumpf"/>
      </w:pPr>
      <w:r>
        <w:rPr/>
        <w:t xml:space="preserve">seinen Beruf eine Reyhe von Pflichten </w:t>
      </w:r>
      <w:r>
        <w:rPr>
          <w:strike w:val="true"/>
        </w:rPr>
        <w:t xml:space="preserve">entstehen</w:t>
      </w:r>
      <w:r>
        <w:rPr/>
        <w:t xml:space="preserve"> verstanden, die aus dem </w:t>
      </w:r>
    </w:p>
    <w:p>
      <w:pPr>
        <w:pStyle w:val="stumpf"/>
      </w:pPr>
      <w:r>
        <w:rPr/>
        <w:t xml:space="preserve">Vorzug seiner Geburt folgen, aus dem Range, den er in der Gesellschaft </w:t>
      </w:r>
    </w:p>
    <w:p>
      <w:pPr>
        <w:pStyle w:val="stumpf"/>
      </w:pPr>
      <w:r>
        <w:rPr/>
        <w:t xml:space="preserve">genüst und den Vortheilen, die damit verbunden sind. Seine Einsichten, seine </w:t>
      </w:r>
    </w:p>
    <w:p>
      <w:pPr>
        <w:pStyle w:val="stumpf"/>
      </w:pPr>
      <w:r>
        <w:rPr/>
        <w:t xml:space="preserve">Sitten, seine Denkungsart, Grundsätze pp. müßen mit seinem Stande </w:t>
      </w:r>
    </w:p>
    <w:p>
      <w:pPr>
        <w:framePr w:w="1000" w:hSpace="420" w:wrap="around" w:hAnchor="page" w:vAnchor="text" w:xAlign="left" w:y="0"/>
        <w:keepNext w:val="true"/>
        <w:pStyle w:val="zeilenzählung"/>
      </w:pPr>
      <w:r>
        <w:rPr>
          <w:sz w:val="12"/>
        </w:rPr>
        <w:t>30</w:t>
      </w:r>
    </w:p>
    <w:p>
      <w:pPr>
        <w:pStyle w:val="stumpf"/>
      </w:pPr>
      <w:r>
        <w:rPr/>
        <w:t xml:space="preserve">übereinstimmen. Je mehr daher seine Erziehung nach seinem Stande eingerichtet </w:t>
      </w:r>
    </w:p>
    <w:p>
      <w:pPr>
        <w:pStyle w:val="stumpf"/>
      </w:pPr>
      <w:r>
        <w:rPr/>
        <w:t xml:space="preserve">seyn wird, je früher und gründlicher er in seiner Jugend von demjenigen, </w:t>
      </w:r>
    </w:p>
    <w:p>
      <w:pPr>
        <w:pStyle w:val="stumpf"/>
      </w:pPr>
      <w:r>
        <w:rPr/>
        <w:t xml:space="preserve">wozu ihn seine Geburt berufft unterrichtet wird, desto beßer wird er demselben </w:t>
      </w:r>
    </w:p>
    <w:p>
      <w:pPr>
        <w:pStyle w:val="stumpf"/>
      </w:pPr>
      <w:r>
        <w:rPr/>
        <w:t xml:space="preserve">in späteren Jahren nachzuleben wißen. </w:t>
      </w:r>
    </w:p>
    <w:p>
      <w:pPr>
        <w:pStyle w:val="einzug"/>
      </w:pPr>
      <w:r>
        <w:rPr/>
        <w:t xml:space="preserve">Sie haben jetzt das Beste, was ich im stande bin Ihnen zu sagen. Ich </w:t>
      </w:r>
    </w:p>
    <w:p>
      <w:pPr>
        <w:framePr w:w="1000" w:hSpace="420" w:wrap="around" w:hAnchor="page" w:vAnchor="text" w:xAlign="left" w:y="0"/>
        <w:keepNext w:val="true"/>
        <w:pStyle w:val="zeilenzählung"/>
      </w:pPr>
      <w:r>
        <w:rPr>
          <w:sz w:val="12"/>
        </w:rPr>
        <w:t>35</w:t>
      </w:r>
    </w:p>
    <w:p>
      <w:pPr>
        <w:pStyle w:val="stumpf"/>
      </w:pPr>
      <w:r>
        <w:rPr/>
        <w:t xml:space="preserve">erwarte jetzt die Verbeßerung und Ergänzung, die Sie für nöthig finden um </w:t>
      </w:r>
    </w:p>
    <w:p>
      <w:pPr>
        <w:pStyle w:val="stumpf"/>
      </w:pPr>
      <w:r>
        <w:rPr/>
        <w:t xml:space="preserve">meine Anmerkungen richtiger und deutlicher zu machen. Ich will noch </w:t>
      </w:r>
      <w:r>
        <w:rPr>
          <w:strike w:val="true"/>
        </w:rPr>
        <w:t xml:space="preserve">einige</w:t>
      </w:r>
      <w:r>
        <w:rPr/>
        <w:t xml:space="preserve"> </w:t>
      </w:r>
    </w:p>
    <w:p>
      <w:pPr>
        <w:pStyle w:val="stumpf"/>
      </w:pPr>
      <w:r>
        <w:rPr/>
        <w:t xml:space="preserve">eine einzige hinzufügen, die mir mitten in meiner Arbeit eingefallen. Sollte </w:t>
      </w:r>
    </w:p>
    <w:p>
      <w:pPr>
        <w:framePr w:w="1000" w:hSpace="420" w:wrap="around" w:hAnchor="page" w:vAnchor="text" w:xAlign="left" w:y="0"/>
        <w:keepNext w:val="true"/>
        <w:pStyle w:val="seitenzählung"/>
      </w:pPr>
      <w:r>
        <w:rPr>
          <w:sz w:val="12"/>
          <w:b w:val="true"/>
        </w:rPr>
        <w:t>S. 272</w:t>
      </w:r>
      <w:r>
        <w:rPr/>
        <w:t xml:space="preserve"> </w:t>
      </w:r>
    </w:p>
    <w:p>
      <w:pPr>
        <w:pStyle w:val="stumpf"/>
      </w:pPr>
      <w:r>
        <w:rPr/>
        <w:t xml:space="preserve">es den Philosophen, wenn sie die Zeichen der menschlichen Begriffe erklären </w:t>
      </w:r>
    </w:p>
    <w:p>
      <w:pPr>
        <w:pStyle w:val="stumpf"/>
      </w:pPr>
      <w:r>
        <w:rPr/>
        <w:t xml:space="preserve">und recht bestimmen </w:t>
      </w:r>
      <w:r>
        <w:rPr/>
        <w:t xml:space="preserve">wollen,</w:t>
      </w:r>
      <w:r>
        <w:rPr/>
        <w:t xml:space="preserve"> nicht öfters als den Kindern gehen, die sich </w:t>
      </w:r>
    </w:p>
    <w:p>
      <w:pPr>
        <w:pStyle w:val="stumpf"/>
      </w:pPr>
      <w:r>
        <w:rPr/>
        <w:t xml:space="preserve">Mühe geben das Qvecksilber fest zu halten? </w:t>
      </w:r>
    </w:p>
    <w:p>
      <w:pPr>
        <w:pStyle w:val="einzug"/>
      </w:pPr>
      <w:r>
        <w:rPr/>
        <w:t xml:space="preserve">Ich bin mit aller Hochachtung Mein Herr, Ihr gehorsamer Diener.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VIIIa 13–16.</w:t>
      </w:r>
    </w:p>
    <w:p>
      <w:pPr>
        <w:pStyle w:val="stumpf"/>
      </w:pPr>
      <w:r>
        <w:rPr>
          <w:rFonts w:ascii="Linux Biolinum" w:hAnsi="Linux Biolinum" w:cs="Linux Biolinum"/>
        </w:rPr>
        <w:t xml:space="preserve">ZH I 270–272, Nr. 126.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272/2 </w:t>
      </w:r>
      <w:r>
        <w:rPr/>
        <w:t xml:space="preserve">wollen,</w:t>
      </w:r>
      <w:r>
        <w:t xml:space="preserve">] </w:t>
      </w:r>
      <w:r>
        <w:rPr/>
        <w:t xml:space="preserve">Geändert nach Druckbogen 1940; ZH: </w:t>
      </w:r>
      <w:r>
        <w:rPr/>
        <w:t xml:space="preserve">wollen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270/2</w:t>
      </w:r>
      <w:r>
        <w:rPr/>
        <w:t xml:space="preserve"> Musterbrief, wie </w:t>
      </w:r>
      <w:r>
        <w:rPr/>
        <w:t xml:space="preserve">Peter Christoph v. Witten</w:t>
      </w:r>
      <w:r>
        <w:rPr/>
        <w:t xml:space="preserve"> ihm, H., antworten könnte.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126 (I 270‒272)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b41a92a2f63438d" /><Relationship Type="http://schemas.openxmlformats.org/officeDocument/2006/relationships/footer" Target="/word/footer1.xml" Id="default" /></Relationships>
</file>