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58d8a0b1a9840f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272‒274</w:t>
      </w:r>
      <w:r>
        <w:br/>
      </w:r>
    </w:p>
    <w:p>
      <w:pPr>
        <w:pStyle w:val="linksbündig"/>
      </w:pPr>
      <w:r>
        <w:rPr>
          <w:sz w:val="32"/>
          <w:b w:val="true"/>
        </w:rPr>
        <w:t>127</w:t>
      </w:r>
    </w:p>
    <w:p>
      <w:pPr>
        <w:pStyle w:val="linksbündig"/>
      </w:pPr>
      <w:r>
        <w:rPr>
          <w:b w:val="true"/>
        </w:rPr>
        <w:t>Riga, 28. Oktober 1758</w:t>
      </w:r>
      <w:r>
        <w:br/>
      </w:r>
      <w:r>
        <w:rPr>
          <w:b w:val="true"/>
        </w:rPr>
        <w:t>Johann Georg Hamann → Peter Christoph Baron von Witten</w:t>
      </w:r>
      <w:r>
        <w:br/>
      </w:r>
      <w:r>
        <w:rPr/>
        <w:t xml:space="preserve"> </w:t>
      </w:r>
      <w:r>
        <w:rPr/>
        <w:t xml:space="preserve"> </w:t>
      </w:r>
    </w:p>
    <w:p>
      <w:pPr>
        <w:framePr w:w="1000" w:hSpace="420" w:wrap="around" w:hAnchor="page" w:vAnchor="text" w:xAlign="left" w:y="0"/>
        <w:keepNext w:val="true"/>
        <w:pStyle w:val="zeilenzählung"/>
      </w:pPr>
      <w:r>
        <w:rPr>
          <w:sz w:val="12"/>
        </w:rPr>
        <w:t>S. 272, 6</w:t>
      </w:r>
    </w:p>
    <w:p>
      <w:pPr>
        <w:pStyle w:val="stumpf"/>
      </w:pPr>
      <w:r>
        <w:rPr/>
        <w:t xml:space="preserve">Lieber Herr Baron, </w:t>
      </w:r>
    </w:p>
    <w:p>
      <w:pPr>
        <w:pStyle w:val="stumpf"/>
      </w:pPr>
      <w:r>
        <w:rPr/>
        <w:t xml:space="preserve">Ich weiß die Zufriedenheit mit Ihrem letzten Briefe nicht beßer </w:t>
      </w:r>
    </w:p>
    <w:p>
      <w:pPr>
        <w:pStyle w:val="stumpf"/>
      </w:pPr>
      <w:r>
        <w:rPr/>
        <w:t xml:space="preserve">auszudrücken</w:t>
      </w:r>
      <w:r>
        <w:rPr/>
        <w:t xml:space="preserve"> als durch eine geschwinde Beantwortung deßelben. Wegen der Aufnahme </w:t>
      </w:r>
    </w:p>
    <w:p>
      <w:pPr>
        <w:pStyle w:val="stumpf"/>
      </w:pPr>
      <w:r>
        <w:rPr/>
        <w:t xml:space="preserve">meines letzten Packs bin etwas besorgt gewesen, weil ich weiß, daß man mit </w:t>
      </w:r>
    </w:p>
    <w:p>
      <w:pPr>
        <w:framePr w:w="1000" w:hSpace="420" w:wrap="around" w:hAnchor="page" w:vAnchor="text" w:xAlign="left" w:y="0"/>
        <w:keepNext w:val="true"/>
        <w:pStyle w:val="zeilenzählung"/>
      </w:pPr>
      <w:r>
        <w:rPr>
          <w:sz w:val="12"/>
        </w:rPr>
        <w:t>10</w:t>
      </w:r>
    </w:p>
    <w:p>
      <w:pPr>
        <w:pStyle w:val="stumpf"/>
      </w:pPr>
      <w:r>
        <w:rPr/>
        <w:t xml:space="preserve">den besten Absichten zuweilen in der Art selbige zu erreichen sehr ungeschickt </w:t>
      </w:r>
    </w:p>
    <w:p>
      <w:pPr>
        <w:pStyle w:val="stumpf"/>
      </w:pPr>
      <w:r>
        <w:rPr/>
        <w:t xml:space="preserve">oder unglücklich seyn kann. Sie werden recht wohl thun sich immer zu </w:t>
      </w:r>
    </w:p>
    <w:p>
      <w:pPr>
        <w:pStyle w:val="stumpf"/>
      </w:pPr>
      <w:r>
        <w:rPr/>
        <w:t xml:space="preserve">erinnern, daß Sie vermöge Ihres Standes Gott, dem Nächsten und sich Selbst </w:t>
      </w:r>
    </w:p>
    <w:p>
      <w:pPr>
        <w:pStyle w:val="stumpf"/>
      </w:pPr>
      <w:r>
        <w:rPr/>
        <w:t xml:space="preserve">Pflichten schuldig sind und in der Ausübung derselben Ihren Ehrgeitz und </w:t>
      </w:r>
    </w:p>
    <w:p>
      <w:pPr>
        <w:pStyle w:val="stumpf"/>
      </w:pPr>
      <w:r>
        <w:rPr/>
        <w:t xml:space="preserve">Ihre Wollust setzen. </w:t>
      </w:r>
    </w:p>
    <w:p>
      <w:pPr>
        <w:framePr w:w="1000" w:hSpace="420" w:wrap="around" w:hAnchor="page" w:vAnchor="text" w:xAlign="left" w:y="0"/>
        <w:keepNext w:val="true"/>
        <w:pStyle w:val="zeilenzählung"/>
      </w:pPr>
      <w:r>
        <w:rPr>
          <w:sz w:val="12"/>
        </w:rPr>
        <w:t>15</w:t>
      </w:r>
    </w:p>
    <w:p>
      <w:pPr>
        <w:pStyle w:val="einzug"/>
      </w:pPr>
      <w:r>
        <w:rPr/>
        <w:t xml:space="preserve">Ich habe Sie ersucht, Lieber Herr Baron, diejenigen zwo Briefe ins reine </w:t>
      </w:r>
    </w:p>
    <w:p>
      <w:pPr>
        <w:pStyle w:val="stumpf"/>
      </w:pPr>
      <w:r>
        <w:rPr/>
        <w:t xml:space="preserve">zu schreiben, mit Verbeßerung meiner Fehler, und mir selbige mit Ihrer </w:t>
      </w:r>
    </w:p>
    <w:p>
      <w:pPr>
        <w:pStyle w:val="stumpf"/>
      </w:pPr>
      <w:r>
        <w:rPr/>
        <w:t xml:space="preserve">Unterschrift zuzuschicken, falls Sie solche derselben nicht für unwürdig </w:t>
      </w:r>
    </w:p>
    <w:p>
      <w:pPr>
        <w:pStyle w:val="stumpf"/>
      </w:pPr>
      <w:r>
        <w:rPr/>
        <w:t xml:space="preserve">erkennen, und bitte Sie nochmals darum, weil ich Ihnen von dieser Mühe </w:t>
      </w:r>
    </w:p>
    <w:p>
      <w:pPr>
        <w:pStyle w:val="stumpf"/>
      </w:pPr>
      <w:r>
        <w:rPr/>
        <w:t xml:space="preserve">einigen Nutzen versprechen kann. Sie werden darinn auf eine reine </w:t>
      </w:r>
    </w:p>
    <w:p>
      <w:pPr>
        <w:framePr w:w="1000" w:hSpace="420" w:wrap="around" w:hAnchor="page" w:vAnchor="text" w:xAlign="left" w:y="0"/>
        <w:keepNext w:val="true"/>
        <w:pStyle w:val="zeilenzählung"/>
      </w:pPr>
      <w:r>
        <w:rPr>
          <w:sz w:val="12"/>
        </w:rPr>
        <w:t>20</w:t>
      </w:r>
    </w:p>
    <w:p>
      <w:pPr>
        <w:pStyle w:val="stumpf"/>
      </w:pPr>
      <w:r>
        <w:rPr/>
        <w:t xml:space="preserve">Rechtschreibung sehen, und ihre Hand so abzumeßen suchen, daß Sie mit jeden </w:t>
      </w:r>
    </w:p>
    <w:p>
      <w:pPr>
        <w:pStyle w:val="stumpf"/>
      </w:pPr>
      <w:r>
        <w:rPr/>
        <w:t xml:space="preserve">auf einem halben Bogen auskommen, wie ich es gethan. Die Frage vom </w:t>
      </w:r>
    </w:p>
    <w:p>
      <w:pPr>
        <w:pStyle w:val="stumpf"/>
      </w:pPr>
      <w:r>
        <w:rPr/>
        <w:t xml:space="preserve">Beruff möchte jetzt zu unserer Materie hinlänglich erschöpft seyn. Wir wollen </w:t>
      </w:r>
    </w:p>
    <w:p>
      <w:pPr>
        <w:pStyle w:val="stumpf"/>
      </w:pPr>
      <w:r>
        <w:rPr/>
        <w:t xml:space="preserve">also auf den Edelmann jetzt kommen, und ich erwarte davon Ihre Gedanken </w:t>
      </w:r>
    </w:p>
    <w:p>
      <w:pPr>
        <w:pStyle w:val="stumpf"/>
      </w:pPr>
      <w:r>
        <w:rPr/>
        <w:t xml:space="preserve">nach Gelegenheit, wenn Sie mit der ersteren Arbeit fertig sind, nämlich, </w:t>
      </w:r>
    </w:p>
    <w:p>
      <w:pPr>
        <w:framePr w:w="1000" w:hSpace="420" w:wrap="around" w:hAnchor="page" w:vAnchor="text" w:xAlign="left" w:y="0"/>
        <w:keepNext w:val="true"/>
        <w:pStyle w:val="zeilenzählung"/>
      </w:pPr>
      <w:r>
        <w:rPr>
          <w:sz w:val="12"/>
        </w:rPr>
        <w:t>25</w:t>
      </w:r>
    </w:p>
    <w:p>
      <w:pPr>
        <w:pStyle w:val="stumpf"/>
      </w:pPr>
      <w:r>
        <w:rPr/>
        <w:t xml:space="preserve">die beyden ersten abzuschreiben. </w:t>
      </w:r>
    </w:p>
    <w:p>
      <w:pPr>
        <w:pStyle w:val="einzug"/>
      </w:pPr>
      <w:r>
        <w:rPr/>
        <w:t xml:space="preserve">Jetzt will ich noch einige nichtsbedeutende Anmerkungen über Ihr letztes </w:t>
      </w:r>
    </w:p>
    <w:p>
      <w:pPr>
        <w:pStyle w:val="stumpf"/>
      </w:pPr>
      <w:r>
        <w:rPr/>
        <w:t xml:space="preserve">Schreiben auf das Papier werfen. </w:t>
      </w:r>
    </w:p>
    <w:p>
      <w:pPr>
        <w:pStyle w:val="einzug"/>
      </w:pPr>
      <w:r>
        <w:rPr/>
        <w:t xml:space="preserve">„Was der Beruf sey, so ist selbiges – – Das erste ist kein Deutsch, man sagt </w:t>
      </w:r>
    </w:p>
    <w:p>
      <w:pPr>
        <w:pStyle w:val="stumpf"/>
      </w:pPr>
      <w:r>
        <w:rPr/>
        <w:t xml:space="preserve">beßer, was den Beruf anbelangt, oder betrift. Das letzte ist ein polnischer </w:t>
      </w:r>
    </w:p>
    <w:p>
      <w:pPr>
        <w:framePr w:w="1000" w:hSpace="420" w:wrap="around" w:hAnchor="page" w:vAnchor="text" w:xAlign="left" w:y="0"/>
        <w:keepNext w:val="true"/>
        <w:pStyle w:val="zeilenzählung"/>
      </w:pPr>
      <w:r>
        <w:rPr>
          <w:sz w:val="12"/>
        </w:rPr>
        <w:t>30</w:t>
      </w:r>
    </w:p>
    <w:p>
      <w:pPr>
        <w:pStyle w:val="stumpf"/>
      </w:pPr>
      <w:r>
        <w:rPr/>
        <w:t xml:space="preserve">Druckfehler. Beruff ist männlichen Geschlechts, es muß daher heißen, selbiger. </w:t>
      </w:r>
    </w:p>
    <w:p>
      <w:pPr>
        <w:pStyle w:val="stumpf"/>
      </w:pPr>
      <w:r>
        <w:rPr/>
        <w:t xml:space="preserve">Sie werden auf der gleichen handgreifliche Schnitzer sich bey Zeiten gewöhnen </w:t>
      </w:r>
    </w:p>
    <w:p>
      <w:pPr>
        <w:pStyle w:val="stumpf"/>
      </w:pPr>
      <w:r>
        <w:rPr/>
        <w:t xml:space="preserve">Acht zu haben, weil solche ein deutsches Ohr sehr beleidigen. </w:t>
      </w:r>
    </w:p>
    <w:p>
      <w:pPr>
        <w:pStyle w:val="einzug"/>
      </w:pPr>
      <w:r>
        <w:rPr/>
        <w:t xml:space="preserve">Nächste kommt von nahe her. Sie haben also Unrecht Nechster zu schreiben. </w:t>
      </w:r>
    </w:p>
    <w:p>
      <w:pPr>
        <w:pStyle w:val="einzug"/>
      </w:pPr>
      <w:r>
        <w:rPr>
          <w:rFonts w:ascii="Linux Biolinum" w:hAnsi="Linux Biolinum" w:cs="Linux Biolinum"/>
        </w:rPr>
        <w:t xml:space="preserve">Commata</w:t>
      </w:r>
      <w:r>
        <w:rPr/>
        <w:t xml:space="preserve"> werden Sie gehörig anzumerken suchen. Es sind ein Dutzend in </w:t>
      </w:r>
    </w:p>
    <w:p>
      <w:pPr>
        <w:framePr w:w="1000" w:hSpace="420" w:wrap="around" w:hAnchor="page" w:vAnchor="text" w:xAlign="left" w:y="0"/>
        <w:keepNext w:val="true"/>
        <w:pStyle w:val="seitenzählung"/>
      </w:pPr>
      <w:r>
        <w:rPr>
          <w:sz w:val="12"/>
          <w:b w:val="true"/>
        </w:rPr>
        <w:t>S. 273</w:t>
      </w:r>
      <w:r>
        <w:rPr/>
        <w:t xml:space="preserve"> </w:t>
      </w:r>
    </w:p>
    <w:p>
      <w:pPr>
        <w:pStyle w:val="stumpf"/>
      </w:pPr>
      <w:r>
        <w:rPr/>
        <w:t xml:space="preserve">Ihrem Briefe ausgelaßen; die </w:t>
      </w:r>
      <w:r>
        <w:rPr>
          <w:rFonts w:ascii="Linux Biolinum" w:hAnsi="Linux Biolinum" w:cs="Linux Biolinum"/>
        </w:rPr>
        <w:t xml:space="preserve">Puncta</w:t>
      </w:r>
      <w:r>
        <w:rPr/>
        <w:t xml:space="preserve"> stärker zeichnen. Es dient so wohl zur </w:t>
      </w:r>
    </w:p>
    <w:p>
      <w:pPr>
        <w:pStyle w:val="stumpf"/>
      </w:pPr>
      <w:r>
        <w:rPr/>
        <w:t xml:space="preserve">Zierde als zum Verstande. </w:t>
      </w:r>
    </w:p>
    <w:p>
      <w:pPr>
        <w:pStyle w:val="einzug"/>
      </w:pPr>
      <w:r>
        <w:rPr/>
        <w:t xml:space="preserve">„Folglich ist es </w:t>
      </w:r>
      <w:r>
        <w:rPr>
          <w:strike w:val="true"/>
        </w:rPr>
        <w:t xml:space="preserve">ein</w:t>
      </w:r>
      <w:r>
        <w:rPr/>
        <w:t xml:space="preserve"> der Grund zu einem wahren Beruf, welches auch ein </w:t>
      </w:r>
    </w:p>
    <w:p>
      <w:pPr>
        <w:pStyle w:val="stumpf"/>
      </w:pPr>
      <w:r>
        <w:rPr/>
        <w:t xml:space="preserve">kurländischer von Adel auszuüben „schuldig ist“ – – Wenn das: </w:t>
      </w:r>
      <w:r>
        <w:rPr>
          <w:u w:val="single"/>
        </w:rPr>
        <w:t xml:space="preserve">welches</w:t>
      </w:r>
      <w:r>
        <w:rPr/>
        <w:t xml:space="preserve"> auf </w:t>
      </w:r>
    </w:p>
    <w:p>
      <w:pPr>
        <w:framePr w:w="1000" w:hSpace="420" w:wrap="around" w:hAnchor="page" w:vAnchor="text" w:xAlign="left" w:y="0"/>
        <w:keepNext w:val="true"/>
        <w:pStyle w:val="zeilenzählung"/>
      </w:pPr>
      <w:r>
        <w:rPr>
          <w:sz w:val="12"/>
        </w:rPr>
        <w:t>5</w:t>
      </w:r>
    </w:p>
    <w:p>
      <w:pPr>
        <w:pStyle w:val="stumpf"/>
      </w:pPr>
      <w:r>
        <w:rPr/>
        <w:t xml:space="preserve">Beruf geht, so ist es der schon oben angemerkte Fehler. Geht es aber auf alles </w:t>
      </w:r>
    </w:p>
    <w:p>
      <w:pPr>
        <w:pStyle w:val="stumpf"/>
      </w:pPr>
      <w:r>
        <w:rPr/>
        <w:t xml:space="preserve">vorhergehende, so ist es gleichfalls undeutlich und übellautend. </w:t>
      </w:r>
    </w:p>
    <w:p>
      <w:pPr>
        <w:pStyle w:val="einzug"/>
      </w:pPr>
      <w:r>
        <w:rPr/>
        <w:t xml:space="preserve">Wie aber diese drey Theile in eines wahren Erfüllung zu bringen, </w:t>
      </w:r>
      <w:r>
        <w:rPr>
          <w:rFonts w:ascii="Linux Biolinum" w:hAnsi="Linux Biolinum" w:cs="Linux Biolinum"/>
        </w:rPr>
        <w:t xml:space="preserve">comma</w:t>
      </w:r>
      <w:r>
        <w:rPr/>
        <w:t xml:space="preserve"> – </w:t>
      </w:r>
    </w:p>
    <w:p>
      <w:pPr>
        <w:pStyle w:val="stumpf"/>
      </w:pPr>
      <w:r>
        <w:rPr/>
        <w:t xml:space="preserve">– oder </w:t>
      </w:r>
      <w:r>
        <w:rPr>
          <w:rFonts w:ascii="Linux Biolinum" w:hAnsi="Linux Biolinum" w:cs="Linux Biolinum"/>
        </w:rPr>
        <w:t xml:space="preserve">Semicolon.</w:t>
      </w:r>
      <w:r>
        <w:rPr/>
        <w:t xml:space="preserve"> Hier ist entweder etwas ausgelaßen oder verschrieben. </w:t>
      </w:r>
    </w:p>
    <w:p>
      <w:pPr>
        <w:pStyle w:val="einzug"/>
      </w:pPr>
      <w:r>
        <w:rPr/>
        <w:t xml:space="preserve">Namen und Ort mit deutschen Buchstaben. Der Monath November wird </w:t>
      </w:r>
    </w:p>
    <w:p>
      <w:pPr>
        <w:framePr w:w="1000" w:hSpace="420" w:wrap="around" w:hAnchor="page" w:vAnchor="text" w:xAlign="left" w:y="0"/>
        <w:keepNext w:val="true"/>
        <w:pStyle w:val="zeilenzählung"/>
      </w:pPr>
      <w:r>
        <w:rPr>
          <w:sz w:val="12"/>
        </w:rPr>
        <w:t>10</w:t>
      </w:r>
    </w:p>
    <w:p>
      <w:pPr>
        <w:pStyle w:val="stumpf"/>
      </w:pPr>
      <w:r>
        <w:rPr/>
        <w:t xml:space="preserve">mit keinem </w:t>
      </w:r>
      <w:r>
        <w:rPr>
          <w:rFonts w:ascii="Linux Biolinum" w:hAnsi="Linux Biolinum" w:cs="Linux Biolinum"/>
        </w:rPr>
        <w:t xml:space="preserve">w</w:t>
      </w:r>
      <w:r>
        <w:rPr/>
        <w:t xml:space="preserve"> geschrieben; sondern mit einem </w:t>
      </w:r>
      <w:r>
        <w:rPr>
          <w:rFonts w:ascii="Linux Biolinum" w:hAnsi="Linux Biolinum" w:cs="Linux Biolinum"/>
        </w:rPr>
        <w:t xml:space="preserve">v.</w:t>
      </w:r>
      <w:r>
        <w:rPr/>
        <w:t xml:space="preserve"> Sollten wir nicht schon lange </w:t>
      </w:r>
    </w:p>
    <w:p>
      <w:pPr>
        <w:pStyle w:val="stumpf"/>
      </w:pPr>
      <w:r>
        <w:rPr/>
        <w:t xml:space="preserve">über dergleichen Kleinigkeiten hinweg seyn? Und wird es uns nicht leicht </w:t>
      </w:r>
    </w:p>
    <w:p>
      <w:pPr>
        <w:pStyle w:val="stumpf"/>
      </w:pPr>
      <w:r>
        <w:rPr/>
        <w:t xml:space="preserve">werden denken zu lernen, so bald wir im stande seyn werden aufmerksam zu </w:t>
      </w:r>
    </w:p>
    <w:p>
      <w:pPr>
        <w:pStyle w:val="stumpf"/>
      </w:pPr>
      <w:r>
        <w:rPr/>
        <w:t xml:space="preserve">seyn? Was können wir von unserm Verstande fordern, wenn uns unsere </w:t>
      </w:r>
    </w:p>
    <w:p>
      <w:pPr>
        <w:pStyle w:val="stumpf"/>
      </w:pPr>
      <w:r>
        <w:rPr/>
        <w:t xml:space="preserve">Sinnen nicht ein mal gehören? Diese 3 Fragen laßen Sie sich nicht umsonst </w:t>
      </w:r>
    </w:p>
    <w:p>
      <w:pPr>
        <w:framePr w:w="1000" w:hSpace="420" w:wrap="around" w:hAnchor="page" w:vAnchor="text" w:xAlign="left" w:y="0"/>
        <w:keepNext w:val="true"/>
        <w:pStyle w:val="zeilenzählung"/>
      </w:pPr>
      <w:r>
        <w:rPr>
          <w:sz w:val="12"/>
        </w:rPr>
        <w:t>15</w:t>
      </w:r>
    </w:p>
    <w:p>
      <w:pPr>
        <w:pStyle w:val="stumpf"/>
      </w:pPr>
      <w:r>
        <w:rPr/>
        <w:t xml:space="preserve">geschehen. Sie füllen das übrige Leere meines Briefes aus. </w:t>
      </w:r>
    </w:p>
    <w:p>
      <w:pPr>
        <w:pStyle w:val="einzug"/>
      </w:pPr>
      <w:r>
        <w:rPr/>
        <w:t xml:space="preserve">Ist es ein bloßer Gedächtnis Irrthum oder haben Sie Ursachen von der </w:t>
      </w:r>
    </w:p>
    <w:p>
      <w:pPr>
        <w:pStyle w:val="stumpf"/>
      </w:pPr>
      <w:r>
        <w:rPr/>
        <w:t xml:space="preserve">gewöhnlichen Rechtschreibung des Wortes überzeugen abzugehen, welches </w:t>
      </w:r>
    </w:p>
    <w:p>
      <w:pPr>
        <w:pStyle w:val="stumpf"/>
      </w:pPr>
      <w:r>
        <w:rPr/>
        <w:t xml:space="preserve">bey Ihnen überzeigen aussieht. Wir haben 2 Wörter im Deutschen, die einen </w:t>
      </w:r>
    </w:p>
    <w:p>
      <w:pPr>
        <w:pStyle w:val="stumpf"/>
      </w:pPr>
      <w:r>
        <w:rPr/>
        <w:t xml:space="preserve">sehr ähnlichen Laut haben, in der Bedeutung und Buchstabierung aber </w:t>
      </w:r>
    </w:p>
    <w:p>
      <w:pPr>
        <w:framePr w:w="1000" w:hSpace="420" w:wrap="around" w:hAnchor="page" w:vAnchor="text" w:xAlign="left" w:y="0"/>
        <w:keepNext w:val="true"/>
        <w:pStyle w:val="zeilenzählung"/>
      </w:pPr>
      <w:r>
        <w:rPr>
          <w:sz w:val="12"/>
        </w:rPr>
        <w:t>20</w:t>
      </w:r>
    </w:p>
    <w:p>
      <w:pPr>
        <w:pStyle w:val="stumpf"/>
      </w:pPr>
      <w:r>
        <w:rPr/>
        <w:t xml:space="preserve">unterschieden sind. Zeigen, wenn es die Handlung eines Fingers, der davon auch </w:t>
      </w:r>
    </w:p>
    <w:p>
      <w:pPr>
        <w:pStyle w:val="stumpf"/>
      </w:pPr>
      <w:r>
        <w:rPr/>
        <w:t xml:space="preserve">seinen Namen führt, und die Vorrichtung eines Theils von der Zählscheibe </w:t>
      </w:r>
    </w:p>
    <w:p>
      <w:pPr>
        <w:pStyle w:val="stumpf"/>
      </w:pPr>
      <w:r>
        <w:rPr/>
        <w:t xml:space="preserve">einer Uhr </w:t>
      </w:r>
      <w:r>
        <w:rPr>
          <w:strike w:val="true"/>
        </w:rPr>
        <w:t xml:space="preserve">anzeigt</w:t>
      </w:r>
      <w:r>
        <w:rPr/>
        <w:t xml:space="preserve"> bedeutet, wird mit dem i geschrieben. Zeugen aber, wenn </w:t>
      </w:r>
    </w:p>
    <w:p>
      <w:pPr>
        <w:pStyle w:val="stumpf"/>
      </w:pPr>
      <w:r>
        <w:rPr/>
        <w:t xml:space="preserve">es die Außage eines Menschen, der etwas gesehen oder gehört, in sich schlüßt, </w:t>
      </w:r>
    </w:p>
    <w:p>
      <w:pPr>
        <w:pStyle w:val="stumpf"/>
      </w:pPr>
      <w:r>
        <w:rPr/>
        <w:t xml:space="preserve">mit einem u. Wir werden am besten thun, wenn wir es bey dem alten </w:t>
      </w:r>
    </w:p>
    <w:p>
      <w:pPr>
        <w:framePr w:w="1000" w:hSpace="420" w:wrap="around" w:hAnchor="page" w:vAnchor="text" w:xAlign="left" w:y="0"/>
        <w:keepNext w:val="true"/>
        <w:pStyle w:val="zeilenzählung"/>
      </w:pPr>
      <w:r>
        <w:rPr>
          <w:sz w:val="12"/>
        </w:rPr>
        <w:t>25</w:t>
      </w:r>
    </w:p>
    <w:p>
      <w:pPr>
        <w:pStyle w:val="stumpf"/>
      </w:pPr>
      <w:r>
        <w:rPr/>
        <w:t xml:space="preserve">bewenden laßen und das Wort überzeugen von dem letzteren herleiten. Den ich </w:t>
      </w:r>
    </w:p>
    <w:p>
      <w:pPr>
        <w:pStyle w:val="stumpf"/>
      </w:pPr>
      <w:r>
        <w:rPr/>
        <w:t xml:space="preserve">überzeugen will, muß von meiner Meynung abweichen. Es kommt also auf </w:t>
      </w:r>
    </w:p>
    <w:p>
      <w:pPr>
        <w:pStyle w:val="stumpf"/>
      </w:pPr>
      <w:r>
        <w:rPr/>
        <w:t xml:space="preserve">Gründe an, wie bey Gericht auf Zeugen, und wie fern ich meinen Gegner an </w:t>
      </w:r>
    </w:p>
    <w:p>
      <w:pPr>
        <w:pStyle w:val="stumpf"/>
      </w:pPr>
      <w:r>
        <w:rPr/>
        <w:t xml:space="preserve">der Menge und dem Ansehen derselben überlegen bin. Es liegt also ein sehr </w:t>
      </w:r>
    </w:p>
    <w:p>
      <w:pPr>
        <w:pStyle w:val="stumpf"/>
      </w:pPr>
      <w:r>
        <w:rPr/>
        <w:t xml:space="preserve">lehrreiches Bild von der Art jemand zu überzeugen, in der </w:t>
      </w:r>
      <w:r>
        <w:rPr>
          <w:rFonts w:ascii="Linux Biolinum" w:hAnsi="Linux Biolinum" w:cs="Linux Biolinum"/>
        </w:rPr>
        <w:t xml:space="preserve">Etymologie</w:t>
      </w:r>
      <w:r>
        <w:rPr/>
        <w:t xml:space="preserve"> dieses </w:t>
      </w:r>
    </w:p>
    <w:p>
      <w:pPr>
        <w:framePr w:w="1000" w:hSpace="420" w:wrap="around" w:hAnchor="page" w:vAnchor="text" w:xAlign="left" w:y="0"/>
        <w:keepNext w:val="true"/>
        <w:pStyle w:val="zeilenzählung"/>
      </w:pPr>
      <w:r>
        <w:rPr>
          <w:sz w:val="12"/>
        </w:rPr>
        <w:t>30</w:t>
      </w:r>
    </w:p>
    <w:p>
      <w:pPr>
        <w:pStyle w:val="stumpf"/>
      </w:pPr>
      <w:r>
        <w:rPr/>
        <w:t xml:space="preserve">Worts. Man sagt aber auch überweisen, oder beweisen, wie im lateinischen </w:t>
      </w:r>
    </w:p>
    <w:p>
      <w:pPr>
        <w:pStyle w:val="stumpf"/>
      </w:pPr>
      <w:r>
        <w:rPr>
          <w:rFonts w:ascii="Linux Biolinum" w:hAnsi="Linux Biolinum" w:cs="Linux Biolinum"/>
        </w:rPr>
        <w:t xml:space="preserve">demonstrare et probare.</w:t>
      </w:r>
      <w:r>
        <w:rPr/>
        <w:t xml:space="preserve"> Ich könnte Ihnen noch mehr Schulfüchsereyen hier </w:t>
      </w:r>
    </w:p>
    <w:p>
      <w:pPr>
        <w:pStyle w:val="stumpf"/>
      </w:pPr>
      <w:r>
        <w:rPr/>
        <w:t xml:space="preserve">sagen, die hieher nicht gehören. </w:t>
      </w:r>
    </w:p>
    <w:p>
      <w:pPr>
        <w:pStyle w:val="einzug"/>
      </w:pPr>
      <w:r>
        <w:rPr/>
        <w:t xml:space="preserve">Ich erwarte die Abschrift so gut und rein, wie Ihnen möglich. Sie werden </w:t>
      </w:r>
    </w:p>
    <w:p>
      <w:pPr>
        <w:pStyle w:val="stumpf"/>
      </w:pPr>
      <w:r>
        <w:rPr/>
        <w:t xml:space="preserve">sich einen Zeitvertreib daraus machen. </w:t>
      </w:r>
    </w:p>
    <w:p>
      <w:pPr>
        <w:framePr w:w="1000" w:hSpace="420" w:wrap="around" w:hAnchor="page" w:vAnchor="text" w:xAlign="left" w:y="0"/>
        <w:keepNext w:val="true"/>
        <w:pStyle w:val="zeilenzählung"/>
      </w:pPr>
      <w:r>
        <w:rPr>
          <w:sz w:val="12"/>
        </w:rPr>
        <w:t>35</w:t>
      </w:r>
    </w:p>
    <w:p>
      <w:pPr>
        <w:pStyle w:val="einzug"/>
      </w:pPr>
      <w:r>
        <w:rPr/>
        <w:t xml:space="preserve">Meinen unterthänigen </w:t>
      </w:r>
      <w:r>
        <w:rPr>
          <w:rFonts w:ascii="Linux Biolinum" w:hAnsi="Linux Biolinum" w:cs="Linux Biolinum"/>
        </w:rPr>
        <w:t xml:space="preserve">Respect</w:t>
      </w:r>
      <w:r>
        <w:rPr/>
        <w:t xml:space="preserve"> an Dero Gnädige Eltern beyderseits nebst </w:t>
      </w:r>
    </w:p>
    <w:p>
      <w:pPr>
        <w:pStyle w:val="stumpf"/>
      </w:pPr>
      <w:r>
        <w:rPr/>
        <w:t xml:space="preserve">meinen verbindlichen Empfehlungen an Dero sämtliches Hochwohlgebornes </w:t>
      </w:r>
    </w:p>
    <w:p>
      <w:pPr>
        <w:pStyle w:val="stumpf"/>
      </w:pPr>
      <w:r>
        <w:rPr/>
        <w:t xml:space="preserve">Geschwister. </w:t>
      </w:r>
    </w:p>
    <w:p>
      <w:pPr>
        <w:framePr w:w="1000" w:hSpace="420" w:wrap="around" w:hAnchor="page" w:vAnchor="text" w:xAlign="left" w:y="0"/>
        <w:keepNext w:val="true"/>
        <w:pStyle w:val="seitenzählung"/>
      </w:pPr>
      <w:r>
        <w:rPr>
          <w:sz w:val="12"/>
          <w:b w:val="true"/>
        </w:rPr>
        <w:t>S. 274</w:t>
      </w:r>
      <w:r>
        <w:rPr/>
        <w:t xml:space="preserve"> </w:t>
      </w:r>
    </w:p>
    <w:p>
      <w:pPr>
        <w:pStyle w:val="einzug"/>
      </w:pPr>
      <w:r>
        <w:rPr/>
        <w:t xml:space="preserve">Grüßen Sie Herrn Lindner, von dem ich eine Antwort und meine Bücher </w:t>
      </w:r>
    </w:p>
    <w:p>
      <w:pPr>
        <w:pStyle w:val="stumpf"/>
      </w:pPr>
      <w:r>
        <w:rPr/>
        <w:t xml:space="preserve">nebst Laute erwarte, um die ich neulich gebeten. Ich bin mit einer aufrichtigen </w:t>
      </w:r>
    </w:p>
    <w:p>
      <w:pPr>
        <w:pStyle w:val="stumpf"/>
      </w:pPr>
      <w:r>
        <w:rPr/>
        <w:t xml:space="preserve">Hochachtung und Zuneigung Gütiger Herr Baron Ihr ergebenster Diener. </w:t>
      </w:r>
    </w:p>
    <w:p>
      <w:pPr>
        <w:pStyle w:val="rechtsbündig"/>
      </w:pPr>
      <w:r>
        <w:rPr/>
        <w:t xml:space="preserve">Hamann.</w:t>
      </w:r>
      <w:r>
        <w:rPr/>
        <w:t xml:space="preserve"> </w:t>
      </w:r>
    </w:p>
    <w:p>
      <w:pPr>
        <w:framePr w:w="1000" w:hSpace="420" w:wrap="around" w:hAnchor="page" w:vAnchor="text" w:xAlign="left" w:y="0"/>
        <w:keepNext w:val="true"/>
        <w:pStyle w:val="zeilenzählung"/>
      </w:pPr>
      <w:r>
        <w:rPr>
          <w:sz w:val="12"/>
        </w:rPr>
        <w:t>5</w:t>
      </w:r>
    </w:p>
    <w:p>
      <w:pPr>
        <w:pStyle w:val="einzug"/>
      </w:pPr>
      <w:r>
        <w:rPr/>
        <w:t xml:space="preserve">Riga den, </w:t>
      </w:r>
      <w:r>
        <w:rPr/>
        <w:t xml:space="preserve">28. </w:t>
      </w:r>
      <w:r>
        <w:rPr>
          <w:rFonts w:ascii="Linux Biolinum" w:hAnsi="Linux Biolinum" w:cs="Linux Biolinum"/>
        </w:rPr>
        <w:t xml:space="preserve">Octobr.</w:t>
      </w:r>
      <w:r>
        <w:rPr/>
        <w:t xml:space="preserve"> 1758.</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41.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325–328.</w:t>
      </w:r>
    </w:p>
    <w:p>
      <w:pPr>
        <w:pStyle w:val="stumpf"/>
      </w:pPr>
      <w:r>
        <w:rPr>
          <w:rFonts w:ascii="Linux Biolinum" w:hAnsi="Linux Biolinum" w:cs="Linux Biolinum"/>
        </w:rPr>
        <w:t xml:space="preserve">ZH I 272–274, Nr. 127.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272/8 </w:t>
      </w:r>
      <w:r>
        <w:rPr/>
        <w:t xml:space="preserve">auszudrücken</w:t>
      </w:r>
      <w:r>
        <w:t xml:space="preserve">] </w:t>
      </w:r>
      <w:r>
        <w:rPr/>
        <w:t xml:space="preserve">In ZH am Zeilenfall nach der alten Rechtschreibung getrennt: </w:t>
      </w:r>
      <w:r>
        <w:rPr/>
        <w:t xml:space="preserve">auszudrük-|ken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272/6</w:t>
      </w:r>
      <w:r>
        <w:rPr/>
        <w:t xml:space="preserve"> </w:t>
      </w:r>
      <w:r>
        <w:rPr/>
        <w:t xml:space="preserve">Peter Christoph Baron v. Witten</w:t>
      </w:r>
      <w:r>
        <w:rPr/>
      </w:r>
      <w:r>
        <w:rPr/>
        <w:t xml:space="preserve"> </w:t>
      </w:r>
    </w:p>
    <w:p>
      <w:pPr>
        <w:pStyle w:val="kommentar"/>
      </w:pPr>
      <w:r>
        <w:rPr>
          <w:b w:val="true"/>
          <w:sz w:val="16"/>
        </w:rPr>
        <w:t xml:space="preserve">272/15</w:t>
      </w:r>
      <w:r>
        <w:rPr/>
        <w:t xml:space="preserve"> Brief </w:t>
      </w:r>
      <w:r>
        <w:rPr/>
        <w:t xml:space="preserve">125</w:t>
      </w:r>
      <w:r>
        <w:rPr/>
        <w:t xml:space="preserve"> u. </w:t>
      </w:r>
      <w:r>
        <w:rPr/>
        <w:t xml:space="preserve">126</w:t>
      </w:r>
      <w:r>
        <w:rPr/>
        <w:t xml:space="preserve"> </w:t>
      </w:r>
    </w:p>
    <w:p>
      <w:pPr>
        <w:pStyle w:val="kommentar"/>
      </w:pPr>
      <w:r>
        <w:rPr>
          <w:b w:val="true"/>
          <w:sz w:val="16"/>
        </w:rPr>
        <w:t xml:space="preserve">272/27</w:t>
      </w:r>
      <w:r>
        <w:rPr/>
        <w:t xml:space="preserve"> </w:t>
      </w:r>
      <w:r>
        <w:rPr>
          <w:rFonts w:ascii="Linux Libertine G" w:hAnsi="Linux Libertine G" w:cs="Linux Libertine G"/>
        </w:rPr>
        <w:t xml:space="preserve">Schreiben</w:t>
        <w:t>]</w:t>
      </w:r>
      <w:r>
        <w:rPr/>
        <w:t xml:space="preserve"> nicht überliefert </w:t>
      </w:r>
    </w:p>
    <w:p>
      <w:pPr>
        <w:pStyle w:val="kommentar"/>
      </w:pPr>
      <w:r>
        <w:rPr>
          <w:b w:val="true"/>
          <w:sz w:val="16"/>
        </w:rPr>
        <w:t xml:space="preserve">273/29</w:t>
      </w:r>
      <w:r>
        <w:rPr/>
        <w:t xml:space="preserve"> </w:t>
      </w:r>
      <w:r>
        <w:rPr>
          <w:rFonts w:ascii="Linux Libertine G" w:hAnsi="Linux Libertine G" w:cs="Linux Libertine G"/>
        </w:rPr>
        <w:t xml:space="preserve">Etymologie</w:t>
        <w:t>]</w:t>
      </w:r>
      <w:r>
        <w:rPr/>
        <w:t xml:space="preserve"> in Grammatiken des 18. Jhds. wird darunter überwiegend noch das verstanden, was heute als Morphologie bezeichnet wird. </w:t>
      </w:r>
    </w:p>
    <w:p>
      <w:pPr>
        <w:pStyle w:val="kommentar"/>
      </w:pPr>
      <w:r>
        <w:rPr>
          <w:b w:val="true"/>
          <w:sz w:val="16"/>
        </w:rPr>
        <w:t xml:space="preserve">273/33</w:t>
      </w:r>
      <w:r>
        <w:rPr/>
        <w:t xml:space="preserve"> </w:t>
      </w:r>
      <w:r>
        <w:t>HKB 130 (I  281/27)</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274/1</w:t>
      </w:r>
      <w:r>
        <w:rPr/>
        <w:t xml:space="preserve"> </w:t>
      </w:r>
      <w:r>
        <w:rPr/>
        <w:t xml:space="preserve">Gottlob Immanuel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127 (I 272‒274)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8d10c2fafec481f" /><Relationship Type="http://schemas.openxmlformats.org/officeDocument/2006/relationships/footer" Target="/word/footer1.xml" Id="default" /></Relationships>
</file>