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f13f1979e39480a"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102‒103</w:t>
      </w:r>
      <w:r>
        <w:br/>
      </w:r>
    </w:p>
    <w:p>
      <w:pPr>
        <w:pStyle w:val="linksbündig"/>
      </w:pPr>
      <w:r>
        <w:rPr>
          <w:sz w:val="32"/>
          <w:b w:val="true"/>
        </w:rPr>
        <w:t>211</w:t>
      </w:r>
    </w:p>
    <w:p>
      <w:pPr>
        <w:pStyle w:val="linksbündig"/>
      </w:pPr>
      <w:r>
        <w:rPr>
          <w:b w:val="true"/>
        </w:rPr>
        <w:t>Vmtl. 1761</w:t>
      </w:r>
      <w:r>
        <w:br/>
      </w:r>
      <w:r>
        <w:rPr>
          <w:b w:val="true"/>
        </w:rPr>
        <w:t>Johann Christoph Ruprecht → Johann Georg Hamann</w:t>
      </w:r>
      <w:r>
        <w:br/>
      </w:r>
      <w:r>
        <w:rPr/>
        <w:t xml:space="preserve"> </w:t>
      </w:r>
      <w:r>
        <w:rPr/>
        <w:t xml:space="preserve"> </w:t>
      </w:r>
    </w:p>
    <w:p>
      <w:pPr>
        <w:framePr w:w="1000" w:hSpace="420" w:wrap="around" w:hAnchor="page" w:vAnchor="text" w:xAlign="left" w:y="0"/>
        <w:keepNext w:val="true"/>
        <w:pStyle w:val="zeilenzählung"/>
      </w:pPr>
      <w:r>
        <w:rPr>
          <w:sz w:val="12"/>
        </w:rPr>
        <w:t>S. 102, 32</w:t>
      </w:r>
    </w:p>
    <w:p>
      <w:pPr>
        <w:pStyle w:val="stumpf"/>
      </w:pPr>
      <w:r>
        <w:rPr>
          <w:shd w:fill="#e2e2e2"/>
        </w:rPr>
        <w:t xml:space="preserve">…</w:t>
      </w:r>
      <w:r>
        <w:rPr/>
        <w:t xml:space="preserve"> Freunde, mit der edlen Freymüthigkeit Ihres Herzens Ihre Gedanken. </w:t>
      </w:r>
    </w:p>
    <w:p>
      <w:pPr>
        <w:pStyle w:val="stumpf"/>
      </w:pPr>
      <w:r>
        <w:rPr/>
        <w:t xml:space="preserve">Bey Ihnen würde ich Selbst es mir zur Ehre rechnen, in die Schule zu gehen </w:t>
      </w:r>
    </w:p>
    <w:p>
      <w:pPr>
        <w:pStyle w:val="stumpf"/>
      </w:pPr>
      <w:r>
        <w:rPr/>
        <w:t xml:space="preserve">und in der Erkenntnis zu wachsen. Sie werden endlich so gütig seyn und dem </w:t>
      </w:r>
    </w:p>
    <w:p>
      <w:pPr>
        <w:framePr w:w="1000" w:hSpace="420" w:wrap="around" w:hAnchor="page" w:vAnchor="text" w:xAlign="left" w:y="0"/>
        <w:keepNext w:val="true"/>
        <w:pStyle w:val="seitenzählung"/>
      </w:pPr>
      <w:r>
        <w:rPr>
          <w:sz w:val="12"/>
          <w:b w:val="true"/>
        </w:rPr>
        <w:t>S. 103</w:t>
      </w:r>
      <w:r>
        <w:rPr/>
        <w:t xml:space="preserve"> </w:t>
      </w:r>
    </w:p>
    <w:p>
      <w:pPr>
        <w:pStyle w:val="stumpf"/>
      </w:pPr>
      <w:r>
        <w:rPr/>
        <w:t xml:space="preserve">HErrn </w:t>
      </w:r>
      <w:r>
        <w:rPr>
          <w:rFonts w:ascii="Linux Biolinum" w:hAnsi="Linux Biolinum" w:cs="Linux Biolinum"/>
        </w:rPr>
        <w:t xml:space="preserve">Daentler</w:t>
      </w:r>
      <w:r>
        <w:rPr/>
        <w:t xml:space="preserve"> anzeigen, daß Er Sich in </w:t>
      </w:r>
      <w:r>
        <w:rPr>
          <w:rFonts w:ascii="Linux Biolinum" w:hAnsi="Linux Biolinum" w:cs="Linux Biolinum"/>
        </w:rPr>
        <w:t xml:space="preserve">Coenigsberg</w:t>
      </w:r>
      <w:r>
        <w:rPr/>
        <w:t xml:space="preserve"> nach einem guten </w:t>
      </w:r>
    </w:p>
    <w:p>
      <w:pPr>
        <w:pStyle w:val="stumpf"/>
      </w:pPr>
      <w:r>
        <w:rPr/>
        <w:t xml:space="preserve">Burschen umbsehen möge, der gut schreibt und liest, und von einem guten </w:t>
      </w:r>
    </w:p>
    <w:p>
      <w:pPr>
        <w:pStyle w:val="stumpf"/>
      </w:pPr>
      <w:r>
        <w:rPr>
          <w:rFonts w:ascii="Linux Biolinum" w:hAnsi="Linux Biolinum" w:cs="Linux Biolinum"/>
        </w:rPr>
        <w:t xml:space="preserve">Character</w:t>
      </w:r>
      <w:r>
        <w:rPr/>
        <w:t xml:space="preserve"> ist, damit er denselben vor den HErrn </w:t>
      </w:r>
      <w:r>
        <w:rPr>
          <w:rFonts w:ascii="Linux Biolinum" w:hAnsi="Linux Biolinum" w:cs="Linux Biolinum"/>
        </w:rPr>
        <w:t xml:space="preserve">Fiscal</w:t>
      </w:r>
      <w:r>
        <w:rPr/>
        <w:t xml:space="preserve"> mitbringen könne. </w:t>
      </w:r>
    </w:p>
    <w:p>
      <w:pPr>
        <w:pStyle w:val="stumpf"/>
      </w:pPr>
      <w:r>
        <w:rPr/>
        <w:t xml:space="preserve">Ich schließe, nach einem herzlieben Gruß von dem HErrn </w:t>
      </w:r>
      <w:r>
        <w:rPr>
          <w:rFonts w:ascii="Linux Biolinum" w:hAnsi="Linux Biolinum" w:cs="Linux Biolinum"/>
        </w:rPr>
        <w:t xml:space="preserve">Fiscal</w:t>
      </w:r>
      <w:r>
        <w:rPr/>
        <w:t xml:space="preserve"> und deßen </w:t>
      </w:r>
    </w:p>
    <w:p>
      <w:pPr>
        <w:framePr w:w="1000" w:hSpace="420" w:wrap="around" w:hAnchor="page" w:vAnchor="text" w:xAlign="left" w:y="0"/>
        <w:keepNext w:val="true"/>
        <w:pStyle w:val="zeilenzählung"/>
      </w:pPr>
      <w:r>
        <w:rPr>
          <w:sz w:val="12"/>
        </w:rPr>
        <w:t>5</w:t>
      </w:r>
    </w:p>
    <w:p>
      <w:pPr>
        <w:pStyle w:val="stumpf"/>
      </w:pPr>
      <w:r>
        <w:rPr/>
        <w:t xml:space="preserve">Hauße mit der unverbrüchlichsten Hochachtung als Dero getreu ergebenster </w:t>
      </w:r>
    </w:p>
    <w:p>
      <w:pPr>
        <w:pStyle w:val="stumpf"/>
      </w:pPr>
      <w:r>
        <w:rPr/>
        <w:t xml:space="preserve">Freund </w:t>
      </w:r>
    </w:p>
    <w:p>
      <w:pPr>
        <w:pStyle w:val="rechtsbündig"/>
      </w:pPr>
      <w:r>
        <w:rPr>
          <w:rFonts w:ascii="Linux Biolinum" w:hAnsi="Linux Biolinum" w:cs="Linux Biolinum"/>
        </w:rPr>
        <w:t xml:space="preserve">Ruprecht.</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Unvollständig überliefert. Druck ZH nach den unpublizierten Druckbogen von 1940. Original verschollen. Letzter bekannter Aufbewahrungsort: Staats- und Universitätsbibliothek Königsberg, Msc. 2553 [Gildemeisters Hamanniana], I 41.</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II 102f., Nr. 211.</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103/1</w:t>
      </w:r>
      <w:r>
        <w:rPr/>
        <w:t xml:space="preserve"> </w:t>
      </w:r>
      <w:r>
        <w:rPr>
          <w:rFonts w:ascii="Linux Libertine G" w:hAnsi="Linux Libertine G" w:cs="Linux Libertine G"/>
        </w:rPr>
        <w:t xml:space="preserve">Daentler</w:t>
        <w:t>]</w:t>
      </w:r>
      <w:r>
        <w:rPr/>
        <w:t xml:space="preserve"> N.N. Däntler </w:t>
      </w:r>
    </w:p>
    <w:p>
      <w:pPr>
        <w:pStyle w:val="kommentar"/>
        <w:sectPr>
          <w:pgMar w:top="1416" w:right="1900" w:bottom="2132" w:left="1984" w:footer="1417"/>
          <w:cols w:equalWidth="true" w:space="560" w:num="2"/>
          <w:type w:val="continuous"/>
        </w:sectPr>
      </w:pPr>
      <w:r>
        <w:rPr>
          <w:b w:val="true"/>
          <w:sz w:val="16"/>
        </w:rPr>
        <w:t xml:space="preserve">103/3</w:t>
      </w:r>
      <w:r>
        <w:rPr/>
        <w:t xml:space="preserve"> </w:t>
      </w:r>
      <w:r>
        <w:rPr>
          <w:rFonts w:ascii="Linux Libertine G" w:hAnsi="Linux Libertine G" w:cs="Linux Libertine G"/>
        </w:rPr>
        <w:t xml:space="preserve">Fiscal</w:t>
        <w:t>]</w:t>
      </w:r>
      <w:r>
        <w:rPr/>
        <w:t xml:space="preserve"> </w:t>
      </w:r>
      <w:r>
        <w:rPr/>
        <w:t xml:space="preserve">Christoph Anton Tottien</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211 (II 102‒103)</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47a78ad8c3734ea0" /><Relationship Type="http://schemas.openxmlformats.org/officeDocument/2006/relationships/footer" Target="/word/footer1.xml" Id="default" /></Relationships>
</file>