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Serveur : WIN-KIRSCTQ7GJ9</w:t>
      </w:r>
    </w:p>
    <w:p w:rsidR="00572E6A" w:rsidRDefault="00572E6A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Mot de passe : FFLMbm123</w:t>
      </w:r>
    </w:p>
    <w:p w:rsidR="002138E1" w:rsidRDefault="002138E1" w:rsidP="00A907B2">
      <w:pPr>
        <w:shd w:val="clear" w:color="auto" w:fill="D9D9D9" w:themeFill="background1" w:themeFillShade="D9"/>
        <w:rPr>
          <w:b/>
        </w:rPr>
      </w:pPr>
      <w:r>
        <w:rPr>
          <w:b/>
        </w:rPr>
        <w:t>Chemins d</w:t>
      </w:r>
      <w:r w:rsidR="00FB7686">
        <w:rPr>
          <w:b/>
        </w:rPr>
        <w:t>e</w:t>
      </w:r>
      <w:r>
        <w:rPr>
          <w:b/>
        </w:rPr>
        <w:t xml:space="preserve"> connexion :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,49170</w:t>
      </w:r>
      <w:proofErr w:type="gram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SSM_Compta;user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Default="002138E1" w:rsidP="00A907B2">
      <w:pPr>
        <w:shd w:val="clear" w:color="auto" w:fill="D9D9D9" w:themeFill="background1" w:themeFillShade="D9"/>
        <w:rPr>
          <w:rFonts w:ascii="DejaVu Sans Mono" w:hAnsi="DejaVu Sans Mono" w:cs="DejaVu Sans Mono"/>
          <w:color w:val="C8C8C8"/>
          <w:sz w:val="19"/>
          <w:szCs w:val="19"/>
        </w:rPr>
      </w:pP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Data Source=192.168.1.253</w:t>
      </w:r>
      <w:proofErr w:type="gram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,</w:t>
      </w:r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49170</w:t>
      </w:r>
      <w:proofErr w:type="gram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;initial 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catalog</w:t>
      </w:r>
      <w:proofErr w:type="spellEnd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</w:t>
      </w:r>
      <w:proofErr w:type="spellStart"/>
      <w:r w:rsidR="00651073"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SSM_Malade</w:t>
      </w:r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;user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 xml:space="preserve"> id=</w:t>
      </w:r>
      <w:proofErr w:type="spellStart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sa;password</w:t>
      </w:r>
      <w:proofErr w:type="spellEnd"/>
      <w:r>
        <w:rPr>
          <w:rFonts w:ascii="DejaVu Sans Mono" w:hAnsi="DejaVu Sans Mono" w:cs="DejaVu Sans Mono"/>
          <w:color w:val="C8C8C8"/>
          <w:sz w:val="19"/>
          <w:szCs w:val="19"/>
          <w:highlight w:val="black"/>
        </w:rPr>
        <w:t>=FFLMbm123</w:t>
      </w:r>
    </w:p>
    <w:p w:rsidR="002138E1" w:rsidRPr="00133A91" w:rsidRDefault="002138E1" w:rsidP="00A907B2">
      <w:pPr>
        <w:shd w:val="clear" w:color="auto" w:fill="D9D9D9" w:themeFill="background1" w:themeFillShade="D9"/>
        <w:rPr>
          <w:b/>
          <w:lang w:val="en-US"/>
        </w:rPr>
      </w:pPr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Data Source=192.168.1.253</w:t>
      </w:r>
      <w:proofErr w:type="gramStart"/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,</w:t>
      </w:r>
      <w:r w:rsidR="00651073"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49170</w:t>
      </w:r>
      <w:proofErr w:type="gramEnd"/>
      <w:r w:rsidR="00651073"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;initial catalog=</w:t>
      </w:r>
      <w:proofErr w:type="spellStart"/>
      <w:r w:rsidR="00651073"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SSM_Stock</w:t>
      </w:r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;user</w:t>
      </w:r>
      <w:proofErr w:type="spellEnd"/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 xml:space="preserve"> id=</w:t>
      </w:r>
      <w:proofErr w:type="spellStart"/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sa;password</w:t>
      </w:r>
      <w:proofErr w:type="spellEnd"/>
      <w:r w:rsidRPr="00133A91">
        <w:rPr>
          <w:rFonts w:ascii="DejaVu Sans Mono" w:hAnsi="DejaVu Sans Mono" w:cs="DejaVu Sans Mono"/>
          <w:color w:val="C8C8C8"/>
          <w:sz w:val="19"/>
          <w:szCs w:val="19"/>
          <w:highlight w:val="black"/>
          <w:lang w:val="en-US"/>
        </w:rPr>
        <w:t>=FFLMbm123</w:t>
      </w:r>
    </w:p>
    <w:p w:rsidR="005241E6" w:rsidRPr="005241E6" w:rsidRDefault="005241E6" w:rsidP="00A907B2">
      <w:pPr>
        <w:shd w:val="clear" w:color="auto" w:fill="D9D9D9" w:themeFill="background1" w:themeFillShade="D9"/>
        <w:rPr>
          <w:b/>
        </w:rPr>
      </w:pPr>
      <w:r w:rsidRPr="005241E6">
        <w:rPr>
          <w:b/>
        </w:rPr>
        <w:t>Questions</w:t>
      </w:r>
    </w:p>
    <w:p w:rsidR="005241E6" w:rsidRPr="00B75C4B" w:rsidRDefault="005241E6" w:rsidP="005241E6">
      <w:pPr>
        <w:rPr>
          <w:b/>
        </w:rPr>
      </w:pPr>
      <w:r w:rsidRPr="00B75C4B">
        <w:rPr>
          <w:b/>
        </w:rPr>
        <w:t xml:space="preserve">Cas 3: Patient </w:t>
      </w:r>
      <w:proofErr w:type="spellStart"/>
      <w:r w:rsidRPr="00B75C4B">
        <w:rPr>
          <w:b/>
        </w:rPr>
        <w:t>Form</w:t>
      </w:r>
      <w:proofErr w:type="spellEnd"/>
    </w:p>
    <w:p w:rsidR="0047351F" w:rsidRDefault="005241E6" w:rsidP="005241E6">
      <w:proofErr w:type="gramStart"/>
      <w:r>
        <w:t>pour</w:t>
      </w:r>
      <w:proofErr w:type="gramEnd"/>
      <w:r>
        <w:t xml:space="preserve"> </w:t>
      </w:r>
      <w:proofErr w:type="spellStart"/>
      <w:r>
        <w:t>l'age</w:t>
      </w:r>
      <w:proofErr w:type="spellEnd"/>
      <w:r>
        <w:t xml:space="preserve"> &lt; 1, on doit avoir</w:t>
      </w:r>
      <w:r w:rsidR="00B75C4B">
        <w:t xml:space="preserve"> la possibilité de prendre les mois. </w:t>
      </w:r>
      <w:r w:rsidR="00314EF7">
        <w:t>La</w:t>
      </w:r>
      <w:r>
        <w:t xml:space="preserve"> date d'entrée doit tirer sa</w:t>
      </w:r>
      <w:r w:rsidR="00432C36">
        <w:t xml:space="preserve"> valeur de l'heure système pour </w:t>
      </w:r>
      <w:r>
        <w:t>ne pas</w:t>
      </w:r>
      <w:r w:rsidR="00386CE5">
        <w:t xml:space="preserve"> antidater de faux anciens cas. </w:t>
      </w:r>
    </w:p>
    <w:p w:rsidR="005241E6" w:rsidRPr="001B0DF8" w:rsidRDefault="001B0DF8" w:rsidP="001B0DF8">
      <w:pPr>
        <w:shd w:val="clear" w:color="auto" w:fill="D9D9D9" w:themeFill="background1" w:themeFillShade="D9"/>
        <w:rPr>
          <w:b/>
        </w:rPr>
      </w:pPr>
      <w:r w:rsidRPr="001B0DF8">
        <w:rPr>
          <w:b/>
        </w:rPr>
        <w:t>Notes du 01/02/2022</w:t>
      </w:r>
    </w:p>
    <w:p w:rsidR="004A0A22" w:rsidRDefault="0060228A" w:rsidP="005241E6">
      <w:r>
        <w:t xml:space="preserve">Au lieu </w:t>
      </w:r>
      <w:r w:rsidR="007463CB">
        <w:t xml:space="preserve">d’avoir une </w:t>
      </w:r>
      <w:r>
        <w:t xml:space="preserve">liste </w:t>
      </w:r>
      <w:r w:rsidR="004B58DE">
        <w:t>de personnes à consulter qui se génère automatiquement devant le médecin, il faut prévoir</w:t>
      </w:r>
      <w:r w:rsidR="008D7A3E">
        <w:t xml:space="preserve"> la vérification </w:t>
      </w:r>
      <w:r w:rsidR="0052438A">
        <w:t>du payement par le malade porteur de la quittance.</w:t>
      </w:r>
      <w:r w:rsidR="00D02E4A">
        <w:t xml:space="preserve"> Pour cela, dans la table </w:t>
      </w:r>
      <w:proofErr w:type="spellStart"/>
      <w:r w:rsidR="00D02E4A">
        <w:t>ServiceRecette</w:t>
      </w:r>
      <w:proofErr w:type="spellEnd"/>
      <w:r w:rsidR="00D02E4A">
        <w:t xml:space="preserve"> il faudra retrancher l’attribut statut.</w:t>
      </w:r>
    </w:p>
    <w:p w:rsidR="0099780D" w:rsidRDefault="0099780D" w:rsidP="005241E6">
      <w:r>
        <w:t>A la perception</w:t>
      </w:r>
      <w:r w:rsidR="00551845">
        <w:t xml:space="preserve"> de recettes, quelle différence se trouve dans le </w:t>
      </w:r>
      <w:r w:rsidR="00ED070A">
        <w:t>payement à faire par</w:t>
      </w:r>
      <w:r w:rsidR="00551845">
        <w:t xml:space="preserve"> des anciens et nouveaux cas</w:t>
      </w:r>
      <w:r w:rsidR="0064147A">
        <w:t xml:space="preserve"> des malades</w:t>
      </w:r>
      <w:r w:rsidR="00551845">
        <w:t>.</w:t>
      </w:r>
    </w:p>
    <w:p w:rsidR="00AA663D" w:rsidRPr="00770AC6" w:rsidRDefault="00770AC6" w:rsidP="005241E6">
      <w:pPr>
        <w:rPr>
          <w:b/>
        </w:rPr>
      </w:pPr>
      <w:r w:rsidRPr="00770AC6">
        <w:rPr>
          <w:b/>
        </w:rPr>
        <w:t>Module Comptabilité – 23/02/2022</w:t>
      </w:r>
    </w:p>
    <w:p w:rsidR="00770AC6" w:rsidRDefault="00770AC6" w:rsidP="005241E6">
      <w:r>
        <w:t xml:space="preserve">Passage des écritures avec insertion automatique de </w:t>
      </w:r>
      <w:r w:rsidR="008E3E7E">
        <w:t>contrepartie</w:t>
      </w:r>
    </w:p>
    <w:p w:rsidR="008E3E7E" w:rsidRDefault="00665D2A" w:rsidP="000E4D7C">
      <w:pPr>
        <w:pStyle w:val="Paragraphedeliste"/>
        <w:numPr>
          <w:ilvl w:val="0"/>
          <w:numId w:val="3"/>
        </w:numPr>
      </w:pPr>
      <w:r>
        <w:t>Journal/livre de caisse</w:t>
      </w:r>
      <w:r w:rsidR="00756C1A">
        <w:t xml:space="preserve"> : la contrepartie </w:t>
      </w:r>
      <w:r w:rsidR="004E4827">
        <w:t>à trouver automatiquement c’est le compte de la caisse</w:t>
      </w:r>
      <w:r w:rsidR="0027675D">
        <w:t xml:space="preserve"> avec le même montant pour l’autre compte</w:t>
      </w:r>
      <w:r w:rsidR="004E4827">
        <w:t>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Il en est de même pour le journal de banque s’il est tenu aussi comme le journal de caisse.</w:t>
      </w:r>
    </w:p>
    <w:p w:rsidR="0027675D" w:rsidRDefault="0027675D" w:rsidP="000E4D7C">
      <w:pPr>
        <w:pStyle w:val="Paragraphedeliste"/>
        <w:numPr>
          <w:ilvl w:val="0"/>
          <w:numId w:val="3"/>
        </w:numPr>
      </w:pPr>
      <w:r>
        <w:t>Le journal d’opérations diverses : ici il n’y a pas de contrepartie automatique à trouver, il peut s’agir d’un achat à crédit ou de toute autre opération impliquant des comptes autres que celui de la caisse et celui de la banque.</w:t>
      </w:r>
    </w:p>
    <w:p w:rsidR="0049644D" w:rsidRDefault="0049644D" w:rsidP="000E4D7C">
      <w:r>
        <w:t>Un bon logiciel comptable doit intégrer les états financiers :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Bilan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Journal</w:t>
      </w:r>
    </w:p>
    <w:p w:rsidR="00D22EF4" w:rsidRPr="0048645E" w:rsidRDefault="00D22EF4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 xml:space="preserve"> Grand livre</w:t>
      </w:r>
    </w:p>
    <w:p w:rsidR="0049644D" w:rsidRPr="0048645E" w:rsidRDefault="0049644D" w:rsidP="0049644D">
      <w:pPr>
        <w:pStyle w:val="Paragraphedeliste"/>
        <w:numPr>
          <w:ilvl w:val="0"/>
          <w:numId w:val="4"/>
        </w:numPr>
        <w:rPr>
          <w:color w:val="FF0000"/>
        </w:rPr>
      </w:pPr>
      <w:r w:rsidRPr="0048645E">
        <w:rPr>
          <w:color w:val="FF0000"/>
        </w:rPr>
        <w:t>Balance</w:t>
      </w:r>
    </w:p>
    <w:p w:rsidR="0049644D" w:rsidRDefault="0048645E" w:rsidP="0049644D">
      <w:pPr>
        <w:pStyle w:val="Paragraphedeliste"/>
        <w:numPr>
          <w:ilvl w:val="0"/>
          <w:numId w:val="4"/>
        </w:numPr>
      </w:pPr>
      <w:r>
        <w:t>Comptes de résultat (</w:t>
      </w:r>
      <w:r w:rsidR="0049644D">
        <w:t>Tableau de formation de résultats</w:t>
      </w:r>
      <w:r>
        <w:t>)</w:t>
      </w:r>
      <w:r w:rsidR="00607FB0">
        <w:t> ;</w:t>
      </w:r>
    </w:p>
    <w:p w:rsidR="00F21782" w:rsidRDefault="00F21782" w:rsidP="0049644D">
      <w:pPr>
        <w:pStyle w:val="Paragraphedeliste"/>
        <w:numPr>
          <w:ilvl w:val="0"/>
          <w:numId w:val="4"/>
        </w:numPr>
      </w:pPr>
      <w:r>
        <w:t>Tableau de flux de la trésorerie</w:t>
      </w:r>
      <w:r w:rsidR="00607FB0">
        <w:t> ;</w:t>
      </w:r>
    </w:p>
    <w:p w:rsidR="0049644D" w:rsidRDefault="0049644D" w:rsidP="0049644D">
      <w:pPr>
        <w:pStyle w:val="Paragraphedeliste"/>
        <w:numPr>
          <w:ilvl w:val="0"/>
          <w:numId w:val="4"/>
        </w:numPr>
      </w:pPr>
      <w:r>
        <w:t>Notes annexes</w:t>
      </w:r>
      <w:r w:rsidR="00607FB0">
        <w:t>.</w:t>
      </w:r>
    </w:p>
    <w:p w:rsidR="00292855" w:rsidRDefault="007633FB" w:rsidP="005241E6">
      <w:r>
        <w:t>Possibilité d’accepter les valeurs négati</w:t>
      </w:r>
      <w:r w:rsidR="00FA2570">
        <w:t>ves</w:t>
      </w:r>
      <w:r w:rsidR="00BB7810">
        <w:t xml:space="preserve"> (pour l’annulation des opérations)</w:t>
      </w:r>
      <w:r w:rsidR="00CB6F2D">
        <w:t xml:space="preserve"> : cas de </w:t>
      </w:r>
      <w:r w:rsidR="00624972">
        <w:t xml:space="preserve">retour en caisse </w:t>
      </w:r>
      <w:r w:rsidR="00756063">
        <w:t xml:space="preserve">de 2000 sur les 10000 sortis </w:t>
      </w:r>
      <w:r w:rsidR="00C41D78">
        <w:t>après achat du carburant</w:t>
      </w:r>
      <w:r w:rsidR="00756063">
        <w:t xml:space="preserve"> à 8000</w:t>
      </w:r>
      <w:r w:rsidR="00FA2570">
        <w:t>.</w:t>
      </w:r>
      <w:r w:rsidR="009F49B8">
        <w:t xml:space="preserve"> Les 2000 seront placés négativement pour ramener les 10000 à 8000 dans les deux comptes concernés</w:t>
      </w:r>
      <w:r w:rsidR="002C1534">
        <w:t>.</w:t>
      </w:r>
    </w:p>
    <w:p w:rsidR="000E6DB4" w:rsidRDefault="000E6DB4" w:rsidP="005241E6"/>
    <w:p w:rsidR="00771C62" w:rsidRPr="00771C62" w:rsidRDefault="00771C62" w:rsidP="005241E6">
      <w:pPr>
        <w:rPr>
          <w:b/>
        </w:rPr>
      </w:pPr>
      <w:r w:rsidRPr="00771C62">
        <w:rPr>
          <w:b/>
        </w:rPr>
        <w:lastRenderedPageBreak/>
        <w:t>Exécution</w:t>
      </w:r>
    </w:p>
    <w:p w:rsidR="00C25580" w:rsidRDefault="00C25580" w:rsidP="005241E6">
      <w:r>
        <w:t xml:space="preserve">A l’enregistrement de chaque opération, </w:t>
      </w:r>
      <w:r w:rsidR="00BE7EF2">
        <w:t>les comptes impliqués verront leurs crédits et débits augmenter ou diminuer selon l’opération.</w:t>
      </w:r>
    </w:p>
    <w:p w:rsidR="003D352A" w:rsidRPr="006B7FD4" w:rsidRDefault="003D352A" w:rsidP="005241E6">
      <w:pPr>
        <w:rPr>
          <w:color w:val="FF0000"/>
        </w:rPr>
      </w:pPr>
      <w:r w:rsidRPr="006B7FD4">
        <w:rPr>
          <w:color w:val="FF0000"/>
        </w:rPr>
        <w:t>Notice du 28/02/2022</w:t>
      </w:r>
    </w:p>
    <w:p w:rsidR="003D352A" w:rsidRDefault="003D352A" w:rsidP="005241E6">
      <w:r>
        <w:t xml:space="preserve">Pour enregistrer les différents </w:t>
      </w:r>
      <w:r w:rsidR="00EC6444">
        <w:t xml:space="preserve">comptes </w:t>
      </w:r>
      <w:r>
        <w:t>à utiliser il faut attendre l’aménagement du système comptable de la SUMEDCO</w:t>
      </w:r>
      <w:r w:rsidR="00EC6444">
        <w:t xml:space="preserve"> pour savoir quels comptes sont retenus.</w:t>
      </w:r>
    </w:p>
    <w:p w:rsidR="00EC6444" w:rsidRDefault="004C69A6" w:rsidP="005241E6">
      <w:r>
        <w:t>Autres charges diverses </w:t>
      </w:r>
      <w:r w:rsidR="002D3258">
        <w:t>: dépenses</w:t>
      </w:r>
      <w:r>
        <w:t xml:space="preserve"> que la SUMEDCO fait pour les malades abonnés, lesquelles lui seront payées par les sociétés abonnées.</w:t>
      </w:r>
    </w:p>
    <w:p w:rsidR="003A0881" w:rsidRDefault="003A0881" w:rsidP="005241E6">
      <w:r>
        <w:t xml:space="preserve">Tous les services que la SUMEDCO vend sont dans la rubrique de </w:t>
      </w:r>
      <w:r>
        <w:rPr>
          <w:i/>
        </w:rPr>
        <w:t>Travaux, services vendus</w:t>
      </w:r>
      <w:r>
        <w:t xml:space="preserve"> du tableau de résultat.</w:t>
      </w:r>
    </w:p>
    <w:p w:rsidR="00E653A2" w:rsidRPr="0023392F" w:rsidRDefault="00E653A2" w:rsidP="005241E6">
      <w:pPr>
        <w:rPr>
          <w:color w:val="FF0000"/>
        </w:rPr>
      </w:pPr>
      <w:r w:rsidRPr="0023392F">
        <w:rPr>
          <w:color w:val="FF0000"/>
        </w:rPr>
        <w:t>Notices Exposé 28/02/2022</w:t>
      </w:r>
    </w:p>
    <w:p w:rsidR="00E653A2" w:rsidRDefault="00E653A2" w:rsidP="005241E6">
      <w:r>
        <w:t>Journal de ventes</w:t>
      </w:r>
      <w:r w:rsidR="008F5C2A">
        <w:t>== prise en charge des abonnés (tout cas de ventes au comptant)</w:t>
      </w:r>
    </w:p>
    <w:p w:rsidR="00E653A2" w:rsidRDefault="00E653A2" w:rsidP="005241E6">
      <w:r>
        <w:t>Journal des achats</w:t>
      </w:r>
      <w:r w:rsidR="008F5C2A">
        <w:t xml:space="preserve"> == </w:t>
      </w:r>
      <w:r w:rsidR="00DB57DB">
        <w:t>achat à crédit (par acompte)</w:t>
      </w:r>
    </w:p>
    <w:p w:rsidR="00DB57DB" w:rsidRDefault="00DB57DB" w:rsidP="005241E6">
      <w:r>
        <w:t>Le journal des opérations diverses concerne les charges du personnel et les écritures de régularisations.</w:t>
      </w:r>
    </w:p>
    <w:p w:rsidR="00172093" w:rsidRDefault="00172093" w:rsidP="005241E6">
      <w:r>
        <w:t xml:space="preserve">Balance à 6 colonnes : </w:t>
      </w:r>
      <w:proofErr w:type="spellStart"/>
      <w:r>
        <w:t>cfr</w:t>
      </w:r>
      <w:proofErr w:type="spellEnd"/>
      <w:r>
        <w:t xml:space="preserve"> les 6 colonnes de chaque compte du grand livre ci-dessus.</w:t>
      </w:r>
    </w:p>
    <w:p w:rsidR="006C1DEB" w:rsidRDefault="006F3702" w:rsidP="005241E6">
      <w:r>
        <w:t>Les colonnes sont :</w:t>
      </w:r>
      <w:r w:rsidR="006C1DEB">
        <w:t xml:space="preserve"> solde au début</w:t>
      </w:r>
      <w:r w:rsidR="009A4A7D">
        <w:t xml:space="preserve"> (débit, crédit</w:t>
      </w:r>
      <w:r w:rsidR="009C04F6">
        <w:t xml:space="preserve"> === exercice N-1</w:t>
      </w:r>
      <w:r w:rsidR="009A4A7D">
        <w:t xml:space="preserve">), mouvement (débit, </w:t>
      </w:r>
      <w:r w:rsidR="006C1DEB">
        <w:t>crédit</w:t>
      </w:r>
      <w:r w:rsidR="009A4A7D">
        <w:t>)</w:t>
      </w:r>
      <w:r w:rsidR="006C1DEB">
        <w:t xml:space="preserve">, </w:t>
      </w:r>
      <w:r w:rsidR="009C3589">
        <w:t xml:space="preserve">Solde </w:t>
      </w:r>
      <w:r w:rsidR="00FA7BA4">
        <w:t>clôture</w:t>
      </w:r>
      <w:r w:rsidR="009A4A7D">
        <w:t xml:space="preserve"> (Débit, Crédit</w:t>
      </w:r>
      <w:r w:rsidR="009C04F6">
        <w:t xml:space="preserve"> === exercice N</w:t>
      </w:r>
      <w:r w:rsidR="009A4A7D">
        <w:t>)</w:t>
      </w:r>
    </w:p>
    <w:p w:rsidR="006D3101" w:rsidRDefault="006D3101" w:rsidP="005241E6">
      <w:r>
        <w:t>Le débit et crédit de clôture de chaque compte sont trouvés autom</w:t>
      </w:r>
      <w:r w:rsidR="00DB57DB">
        <w:t>atiquement selon les valeurs de</w:t>
      </w:r>
      <w:r>
        <w:t xml:space="preserve"> débit et </w:t>
      </w:r>
      <w:r w:rsidR="00DB57DB">
        <w:t xml:space="preserve">de </w:t>
      </w:r>
      <w:r>
        <w:t>crédit pour le solde d’ouverture et les mouvements.</w:t>
      </w:r>
    </w:p>
    <w:p w:rsidR="006D3101" w:rsidRDefault="006D3101" w:rsidP="005241E6">
      <w:r>
        <w:t xml:space="preserve">Débit </w:t>
      </w:r>
      <w:proofErr w:type="spellStart"/>
      <w:r>
        <w:t>ouv</w:t>
      </w:r>
      <w:proofErr w:type="spellEnd"/>
      <w:r>
        <w:t>. = report d’un solde débiteur pour le même compte.</w:t>
      </w:r>
    </w:p>
    <w:p w:rsidR="006D3101" w:rsidRDefault="006D3101" w:rsidP="005241E6">
      <w:r>
        <w:t xml:space="preserve">Crédit </w:t>
      </w:r>
      <w:proofErr w:type="spellStart"/>
      <w:r>
        <w:t>ouv</w:t>
      </w:r>
      <w:proofErr w:type="spellEnd"/>
      <w:r>
        <w:t>. =  report d’un solde créditeur pour le même compte</w:t>
      </w:r>
    </w:p>
    <w:p w:rsidR="006D3101" w:rsidRDefault="006D3101" w:rsidP="005241E6">
      <w:proofErr w:type="spellStart"/>
      <w:r>
        <w:t>Mvt</w:t>
      </w:r>
      <w:proofErr w:type="spellEnd"/>
      <w:r>
        <w:t xml:space="preserve">. Débit = Somme de tous les montants enregistrés au débit du compte au cours des opérations sur </w:t>
      </w:r>
      <w:r w:rsidR="000778E3">
        <w:t>une</w:t>
      </w:r>
      <w:r>
        <w:t xml:space="preserve"> période donnée.</w:t>
      </w:r>
    </w:p>
    <w:p w:rsidR="006D3101" w:rsidRDefault="00880924" w:rsidP="005241E6">
      <w:proofErr w:type="spellStart"/>
      <w:r>
        <w:t>Mvt</w:t>
      </w:r>
      <w:proofErr w:type="spellEnd"/>
      <w:r>
        <w:t>. Créd</w:t>
      </w:r>
      <w:r w:rsidR="006D3101">
        <w:t xml:space="preserve">it = Somme de tous les montants enregistrés au crédit du compte au cours des opérations sur </w:t>
      </w:r>
      <w:r w:rsidR="000778E3">
        <w:t>une</w:t>
      </w:r>
      <w:r w:rsidR="006D3101">
        <w:t xml:space="preserve"> période donnée.</w:t>
      </w:r>
    </w:p>
    <w:p w:rsidR="00535DAB" w:rsidRDefault="00535DAB" w:rsidP="005241E6">
      <w:r>
        <w:t xml:space="preserve">Débit </w:t>
      </w:r>
      <w:proofErr w:type="spellStart"/>
      <w:r>
        <w:t>clo</w:t>
      </w:r>
      <w:proofErr w:type="spellEnd"/>
      <w:r>
        <w:t xml:space="preserve"> = solde débiteur à la fin de l’exercice en cours. Il a une valeur différente d’un trait si (Débit </w:t>
      </w:r>
      <w:proofErr w:type="spellStart"/>
      <w:r>
        <w:t>ouv</w:t>
      </w:r>
      <w:proofErr w:type="spellEnd"/>
      <w:r>
        <w:t xml:space="preserve">. + </w:t>
      </w:r>
      <w:proofErr w:type="spellStart"/>
      <w:r>
        <w:t>Mvt</w:t>
      </w:r>
      <w:proofErr w:type="spellEnd"/>
      <w:r>
        <w:t xml:space="preserve">. Débit) &gt; (Crédit </w:t>
      </w:r>
      <w:proofErr w:type="spellStart"/>
      <w:r>
        <w:t>ouv</w:t>
      </w:r>
      <w:proofErr w:type="spellEnd"/>
      <w:r>
        <w:t xml:space="preserve">. + </w:t>
      </w:r>
      <w:proofErr w:type="spellStart"/>
      <w:r w:rsidR="00880924">
        <w:t>Mvt</w:t>
      </w:r>
      <w:proofErr w:type="spellEnd"/>
      <w:r w:rsidR="00880924">
        <w:t>. Crédit</w:t>
      </w:r>
      <w:r>
        <w:t>)</w:t>
      </w:r>
      <w:r w:rsidR="00FA06B5">
        <w:t xml:space="preserve">. Si (Crédit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 xml:space="preserve">. Crédit) &gt; (Débit </w:t>
      </w:r>
      <w:proofErr w:type="spellStart"/>
      <w:r w:rsidR="00FA06B5">
        <w:t>ouv</w:t>
      </w:r>
      <w:proofErr w:type="spellEnd"/>
      <w:r w:rsidR="00FA06B5">
        <w:t xml:space="preserve">. + </w:t>
      </w:r>
      <w:proofErr w:type="spellStart"/>
      <w:r w:rsidR="00FA06B5">
        <w:t>Mvt</w:t>
      </w:r>
      <w:proofErr w:type="spellEnd"/>
      <w:r w:rsidR="00FA06B5">
        <w:t>. Débit) alors c’</w:t>
      </w:r>
      <w:r w:rsidR="00E9134D">
        <w:t xml:space="preserve">est la colonne Crédit </w:t>
      </w:r>
      <w:proofErr w:type="spellStart"/>
      <w:r w:rsidR="00E9134D">
        <w:t>clo</w:t>
      </w:r>
      <w:proofErr w:type="spellEnd"/>
      <w:r w:rsidR="00FA06B5">
        <w:t xml:space="preserve"> </w:t>
      </w:r>
      <w:r w:rsidR="00E9134D">
        <w:t>q</w:t>
      </w:r>
      <w:r w:rsidR="00FA06B5">
        <w:t>ui aura une valeur différente d’un trait.</w:t>
      </w:r>
      <w:r w:rsidR="00E9134D">
        <w:t xml:space="preserve"> Si les deux sommes sont égales alors les deux colonnes Débit </w:t>
      </w:r>
      <w:proofErr w:type="spellStart"/>
      <w:r w:rsidR="00E9134D">
        <w:t>clo</w:t>
      </w:r>
      <w:proofErr w:type="spellEnd"/>
      <w:r w:rsidR="00E9134D">
        <w:t xml:space="preserve"> et Crédit </w:t>
      </w:r>
      <w:proofErr w:type="spellStart"/>
      <w:r w:rsidR="00E9134D">
        <w:t>clo</w:t>
      </w:r>
      <w:proofErr w:type="spellEnd"/>
      <w:r w:rsidR="00E9134D">
        <w:t xml:space="preserve"> n’auront que des trait</w:t>
      </w:r>
      <w:r w:rsidR="00FB7819">
        <w:t>s</w:t>
      </w:r>
      <w:r w:rsidR="00E9134D">
        <w:t>.</w:t>
      </w:r>
    </w:p>
    <w:p w:rsidR="006F3702" w:rsidRPr="006B7FD4" w:rsidRDefault="006F3702" w:rsidP="005241E6">
      <w:pPr>
        <w:rPr>
          <w:color w:val="FFC000"/>
        </w:rPr>
      </w:pPr>
      <w:r w:rsidRPr="006B7FD4">
        <w:rPr>
          <w:color w:val="FFC000"/>
        </w:rPr>
        <w:t>Le taux doit être affiché pour que l’utilisateur le connaisse.</w:t>
      </w:r>
    </w:p>
    <w:p w:rsidR="0027746F" w:rsidRPr="006067AC" w:rsidRDefault="0027746F" w:rsidP="005241E6">
      <w:pPr>
        <w:rPr>
          <w:color w:val="FF0000"/>
        </w:rPr>
      </w:pPr>
      <w:r w:rsidRPr="006067AC">
        <w:rPr>
          <w:color w:val="FF0000"/>
        </w:rPr>
        <w:t>Exposé du 05/03/2022</w:t>
      </w:r>
    </w:p>
    <w:p w:rsidR="004A141C" w:rsidRPr="006B7FD4" w:rsidRDefault="000B5EC1" w:rsidP="005241E6">
      <w:pPr>
        <w:rPr>
          <w:color w:val="FFC000"/>
        </w:rPr>
      </w:pPr>
      <w:r w:rsidRPr="006B7FD4">
        <w:rPr>
          <w:color w:val="FFC000"/>
        </w:rPr>
        <w:t xml:space="preserve">Gérer </w:t>
      </w:r>
      <w:r w:rsidR="008363ED" w:rsidRPr="006B7FD4">
        <w:rPr>
          <w:color w:val="FFC000"/>
        </w:rPr>
        <w:t xml:space="preserve">la caisse </w:t>
      </w:r>
      <w:r w:rsidRPr="006B7FD4">
        <w:rPr>
          <w:color w:val="FFC000"/>
        </w:rPr>
        <w:t>de sorte qu’il n’y ait pas de solde créditeur</w:t>
      </w:r>
      <w:r w:rsidR="005C7F77" w:rsidRPr="006B7FD4">
        <w:rPr>
          <w:color w:val="FFC000"/>
        </w:rPr>
        <w:t> ; c’est-à-dire si le montant impliqué par une opération la rend négative que l’application ne l’aut</w:t>
      </w:r>
      <w:r w:rsidR="008D5942" w:rsidRPr="006B7FD4">
        <w:rPr>
          <w:color w:val="FFC000"/>
        </w:rPr>
        <w:t>o</w:t>
      </w:r>
      <w:r w:rsidR="005C7F77" w:rsidRPr="006B7FD4">
        <w:rPr>
          <w:color w:val="FFC000"/>
        </w:rPr>
        <w:t>rise pas.</w:t>
      </w:r>
      <w:r w:rsidR="006B7FD4">
        <w:rPr>
          <w:color w:val="FFC000"/>
        </w:rPr>
        <w:t xml:space="preserve"> </w:t>
      </w:r>
      <w:r w:rsidR="00803D4A">
        <w:t xml:space="preserve">La banque </w:t>
      </w:r>
      <w:r w:rsidR="00546589">
        <w:t>quant</w:t>
      </w:r>
      <w:r w:rsidR="00803D4A">
        <w:t xml:space="preserve"> à elle peut avoir un solde créditeur car on peut y avoir une dette.</w:t>
      </w:r>
    </w:p>
    <w:p w:rsidR="008B4320" w:rsidRPr="006B7FD4" w:rsidRDefault="008B4320" w:rsidP="005241E6">
      <w:pPr>
        <w:rPr>
          <w:color w:val="FFC000"/>
        </w:rPr>
      </w:pPr>
      <w:r w:rsidRPr="006B7FD4">
        <w:rPr>
          <w:color w:val="FFC000"/>
        </w:rPr>
        <w:lastRenderedPageBreak/>
        <w:t xml:space="preserve">Pour un compte impliqué dans plusieurs opérations dans le grand livre, </w:t>
      </w:r>
      <w:r w:rsidR="007F6EAD" w:rsidRPr="006B7FD4">
        <w:rPr>
          <w:color w:val="FFC000"/>
        </w:rPr>
        <w:t>le solde va afficher une somme cumulée</w:t>
      </w:r>
      <w:r w:rsidR="005B734F" w:rsidRPr="006B7FD4">
        <w:rPr>
          <w:color w:val="FFC000"/>
        </w:rPr>
        <w:t xml:space="preserve"> à chaque ligne d’une opération pour ce compte</w:t>
      </w:r>
      <w:r w:rsidR="00FE26CB" w:rsidRPr="006B7FD4">
        <w:rPr>
          <w:color w:val="FFC000"/>
        </w:rPr>
        <w:t>.</w:t>
      </w:r>
    </w:p>
    <w:p w:rsidR="006108A3" w:rsidRPr="004E7F43" w:rsidRDefault="006108A3" w:rsidP="005241E6">
      <w:pPr>
        <w:rPr>
          <w:color w:val="FF0000"/>
        </w:rPr>
      </w:pPr>
      <w:r w:rsidRPr="004E7F43">
        <w:rPr>
          <w:color w:val="FF0000"/>
        </w:rPr>
        <w:t>10/03/2022</w:t>
      </w:r>
    </w:p>
    <w:p w:rsidR="006108A3" w:rsidRDefault="006108A3" w:rsidP="005241E6">
      <w:r>
        <w:t xml:space="preserve">Consultations : nouveau cas (2000FC), ancien cas (1500), urgence (3000). Toute consultation en dehors des heures de service </w:t>
      </w:r>
      <w:r w:rsidR="00414409">
        <w:t xml:space="preserve">(au-delà de l’heure de fermeture ou dimanche) </w:t>
      </w:r>
      <w:r>
        <w:t>est un cas d’urgence.</w:t>
      </w:r>
    </w:p>
    <w:p w:rsidR="00112146" w:rsidRPr="00156B5A" w:rsidRDefault="00112146" w:rsidP="005241E6">
      <w:pPr>
        <w:rPr>
          <w:color w:val="FF0000"/>
        </w:rPr>
      </w:pPr>
      <w:r w:rsidRPr="00156B5A">
        <w:rPr>
          <w:color w:val="FF0000"/>
        </w:rPr>
        <w:t>Questions</w:t>
      </w:r>
    </w:p>
    <w:p w:rsidR="001255C0" w:rsidRDefault="00745794" w:rsidP="005241E6">
      <w:r>
        <w:t xml:space="preserve">[Caisse] </w:t>
      </w:r>
      <w:r w:rsidR="001255C0">
        <w:t>Y a-t-il une recette qui ne vienne pas de la vente d’un service ici à la polyclinique ? (le retour en caisse n’est pas une recette selon Mr Jean Raymond)</w:t>
      </w:r>
    </w:p>
    <w:p w:rsidR="00FB6F38" w:rsidRDefault="00745794" w:rsidP="005241E6">
      <w:r>
        <w:t xml:space="preserve">[Compta] </w:t>
      </w:r>
      <w:r w:rsidR="00FB6F38">
        <w:t>L’encaissement de recettes au dépôt du rapport journalier occasionne quelle écriture comptable ?</w:t>
      </w:r>
      <w:r w:rsidR="001B0FEA">
        <w:t xml:space="preserve"> (si l’on doit débiter la caisse, c’est au crédit de quel compte ?)</w:t>
      </w:r>
    </w:p>
    <w:p w:rsidR="00A83B1A" w:rsidRDefault="00A83B1A" w:rsidP="005241E6">
      <w:r>
        <w:t>[Compta</w:t>
      </w:r>
      <w:r w:rsidR="00386141">
        <w:t xml:space="preserve"> </w:t>
      </w:r>
      <w:r w:rsidR="00544F40">
        <w:t>-</w:t>
      </w:r>
      <w:r w:rsidR="00386141">
        <w:t xml:space="preserve"> </w:t>
      </w:r>
      <w:proofErr w:type="spellStart"/>
      <w:r w:rsidR="00544F40">
        <w:t>Annythe</w:t>
      </w:r>
      <w:proofErr w:type="spellEnd"/>
      <w:r>
        <w:t>] quels comptes débiter ou créditer lorsqu’un abonné consomme un service</w:t>
      </w:r>
      <w:r w:rsidR="00607755">
        <w:t>, un dépense ou les produits ?</w:t>
      </w:r>
      <w:r w:rsidR="00544F40">
        <w:t xml:space="preserve"> Et quand les entreprises prenant en charge les abonnés règlent c’est toujours par banque ou bien on l’encaisser ?</w:t>
      </w:r>
    </w:p>
    <w:p w:rsidR="00112146" w:rsidRDefault="002714EA" w:rsidP="005241E6">
      <w:r>
        <w:t xml:space="preserve">[Stock-Produits] </w:t>
      </w:r>
      <w:r w:rsidR="00112146">
        <w:t xml:space="preserve">A part le bon de </w:t>
      </w:r>
      <w:r w:rsidR="00482EEC">
        <w:t>réquisition</w:t>
      </w:r>
      <w:r w:rsidR="00112146">
        <w:t>, y a-t-il autre document qui puisse occasionner une sortie de produits du stock ?</w:t>
      </w:r>
      <w:r w:rsidR="003C0B89">
        <w:t xml:space="preserve"> Quoi d’autre peut occasionner l’entrée en stock à part l’approvisionnement ?</w:t>
      </w:r>
    </w:p>
    <w:p w:rsidR="00BC266B" w:rsidRDefault="003633C2" w:rsidP="005241E6">
      <w:r>
        <w:t xml:space="preserve">[Pharmacie] </w:t>
      </w:r>
      <w:r w:rsidR="00BC266B">
        <w:t xml:space="preserve">A part le bon de commande, quoi d’autre peut occasionner une sortie à la pharmacie ? </w:t>
      </w:r>
      <w:r w:rsidR="009904F8">
        <w:t>Quoi</w:t>
      </w:r>
      <w:r w:rsidR="00BC266B">
        <w:t xml:space="preserve"> d’</w:t>
      </w:r>
      <w:r w:rsidR="000D0978">
        <w:t>autre peut y occasionner l’entrée à part la réquisition ?</w:t>
      </w:r>
    </w:p>
    <w:p w:rsidR="00B150B5" w:rsidRDefault="00B150B5" w:rsidP="005241E6">
      <w:r>
        <w:t>CAISSES ET COMPTABILITE</w:t>
      </w:r>
    </w:p>
    <w:p w:rsidR="00156B5A" w:rsidRPr="003A0881" w:rsidRDefault="009E4488" w:rsidP="005241E6">
      <w:r>
        <w:t xml:space="preserve">Le taux pour la date de l’opération doit être enregistré soit à la caisse 1, soit à la caisse 2, soit à la comptabilité. Si l’un de ces trois utilisateurs veut enregistrer un taux, le système doit vérifier s’il n’existe pas encore pour la date concernée. </w:t>
      </w:r>
    </w:p>
    <w:p w:rsidR="00C27392" w:rsidRDefault="00C27392" w:rsidP="005241E6">
      <w:pPr>
        <w:rPr>
          <w:color w:val="FF0000"/>
        </w:rPr>
      </w:pPr>
      <w:r w:rsidRPr="00E37879">
        <w:rPr>
          <w:color w:val="FF0000"/>
        </w:rPr>
        <w:t xml:space="preserve">Notice : La liste des comptes dans l’acte uniforme commence à partir de la 216. Enregistrer tous les comptes ou bien enregistrer le document de comptes au format </w:t>
      </w:r>
      <w:proofErr w:type="spellStart"/>
      <w:r w:rsidRPr="00E37879">
        <w:rPr>
          <w:color w:val="FF0000"/>
        </w:rPr>
        <w:t>pdf</w:t>
      </w:r>
      <w:proofErr w:type="spellEnd"/>
      <w:r w:rsidRPr="00E37879">
        <w:rPr>
          <w:color w:val="FF0000"/>
        </w:rPr>
        <w:t xml:space="preserve"> pour l’appeler au besoin.</w:t>
      </w:r>
    </w:p>
    <w:p w:rsidR="00C87D4B" w:rsidRDefault="00C87D4B" w:rsidP="005241E6">
      <w:pPr>
        <w:rPr>
          <w:color w:val="FF0000"/>
        </w:rPr>
      </w:pPr>
      <w:r>
        <w:rPr>
          <w:color w:val="FF0000"/>
        </w:rPr>
        <w:t>Pages de réf : 684, 1001</w:t>
      </w:r>
      <w:r w:rsidR="00E57A2A">
        <w:rPr>
          <w:color w:val="FF0000"/>
        </w:rPr>
        <w:t>-1003</w:t>
      </w:r>
      <w:r>
        <w:rPr>
          <w:color w:val="FF0000"/>
        </w:rPr>
        <w:t> ;</w:t>
      </w:r>
    </w:p>
    <w:p w:rsidR="00A055D7" w:rsidRDefault="00A055D7" w:rsidP="005241E6">
      <w:pPr>
        <w:rPr>
          <w:color w:val="FF0000"/>
        </w:rPr>
      </w:pPr>
      <w:r>
        <w:rPr>
          <w:color w:val="FF0000"/>
        </w:rPr>
        <w:t>Article 13, page 20 : système comptable normal ou système minimal de la trésorerie</w:t>
      </w:r>
    </w:p>
    <w:p w:rsidR="00490896" w:rsidRPr="00A055D7" w:rsidRDefault="00490896" w:rsidP="005241E6">
      <w:pPr>
        <w:rPr>
          <w:color w:val="FF0000"/>
        </w:rPr>
      </w:pPr>
    </w:p>
    <w:p w:rsidR="004D5F4E" w:rsidRDefault="004D5F4E" w:rsidP="004D5F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</w:rPr>
      </w:pPr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select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numcompte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,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C975D5"/>
          <w:sz w:val="19"/>
          <w:szCs w:val="19"/>
          <w:highlight w:val="black"/>
        </w:rPr>
        <w:t>sum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montantdebit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)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as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Débit</w:t>
      </w:r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,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</w:p>
    <w:p w:rsidR="004D5F4E" w:rsidRDefault="004D5F4E" w:rsidP="004D5F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DejaVu Sans Mono" w:hAnsi="DejaVu Sans Mono" w:cs="DejaVu Sans Mono"/>
          <w:color w:val="C975D5"/>
          <w:sz w:val="19"/>
          <w:szCs w:val="19"/>
          <w:highlight w:val="black"/>
        </w:rPr>
        <w:t>sum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montantcredit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)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as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Crédit</w:t>
      </w:r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,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</w:p>
    <w:p w:rsidR="004D5F4E" w:rsidRDefault="004D5F4E" w:rsidP="004D5F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DejaVu Sans Mono" w:hAnsi="DejaVu Sans Mono" w:cs="DejaVu Sans Mono"/>
          <w:color w:val="C975D5"/>
          <w:sz w:val="19"/>
          <w:szCs w:val="19"/>
          <w:highlight w:val="black"/>
        </w:rPr>
        <w:t>sum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montantdebit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)-</w:t>
      </w:r>
      <w:proofErr w:type="spellStart"/>
      <w:r>
        <w:rPr>
          <w:rFonts w:ascii="DejaVu Sans Mono" w:hAnsi="DejaVu Sans Mono" w:cs="DejaVu Sans Mono"/>
          <w:color w:val="C975D5"/>
          <w:sz w:val="19"/>
          <w:szCs w:val="19"/>
          <w:highlight w:val="black"/>
        </w:rPr>
        <w:t>sum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(</w:t>
      </w:r>
      <w:proofErr w:type="spellStart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montantcredit</w:t>
      </w:r>
      <w:proofErr w:type="spellEnd"/>
      <w:r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)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as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Solde </w:t>
      </w:r>
    </w:p>
    <w:p w:rsidR="004D5F4E" w:rsidRDefault="004D5F4E" w:rsidP="004D5F4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from</w:t>
      </w:r>
      <w:proofErr w:type="spellEnd"/>
      <w:proofErr w:type="gramEnd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OperationCompte</w:t>
      </w:r>
      <w:proofErr w:type="spellEnd"/>
    </w:p>
    <w:p w:rsidR="001B0DF8" w:rsidRDefault="004D5F4E" w:rsidP="005241E6">
      <w:proofErr w:type="gramStart"/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group</w:t>
      </w:r>
      <w:proofErr w:type="gramEnd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r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by</w:t>
      </w:r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numcompte</w:t>
      </w:r>
      <w:proofErr w:type="spellEnd"/>
      <w:r w:rsidR="002E7C39">
        <w:t xml:space="preserve"> </w:t>
      </w:r>
      <w:r w:rsidR="007F7D78">
        <w:t xml:space="preserve"> </w:t>
      </w:r>
    </w:p>
    <w:p w:rsidR="00BE7257" w:rsidRPr="00BE7257" w:rsidRDefault="00BE7257" w:rsidP="00BE725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proofErr w:type="gramStart"/>
      <w:r w:rsidRPr="00BE7257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select</w:t>
      </w:r>
      <w:proofErr w:type="gramEnd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Operation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.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idoperation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dateoperation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numpiece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designation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montantdebit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montantcredit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montantdebit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-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montantcredit</w:t>
      </w:r>
      <w:proofErr w:type="spellEnd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BE7257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as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Solde</w:t>
      </w:r>
      <w:proofErr w:type="spellEnd"/>
    </w:p>
    <w:p w:rsidR="00BE7257" w:rsidRPr="00172093" w:rsidRDefault="00BE7257" w:rsidP="00BE7257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proofErr w:type="gramStart"/>
      <w:r w:rsidRPr="00172093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from</w:t>
      </w:r>
      <w:proofErr w:type="gramEnd"/>
      <w:r w:rsidRPr="00172093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Operation</w:t>
      </w:r>
      <w:r w:rsidRPr="00172093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172093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72093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OperationCompte</w:t>
      </w:r>
      <w:proofErr w:type="spellEnd"/>
    </w:p>
    <w:p w:rsidR="005241E6" w:rsidRPr="00BE7257" w:rsidRDefault="00BE7257" w:rsidP="00BE7257">
      <w:pPr>
        <w:rPr>
          <w:lang w:val="en-US"/>
        </w:rPr>
      </w:pPr>
      <w:proofErr w:type="gramStart"/>
      <w:r w:rsidRPr="00BE7257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where</w:t>
      </w:r>
      <w:proofErr w:type="gramEnd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numcompte</w:t>
      </w:r>
      <w:proofErr w:type="spellEnd"/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=</w:t>
      </w:r>
      <w:r w:rsidRPr="00BE7257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5711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and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Operation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.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idoperation</w:t>
      </w:r>
      <w:proofErr w:type="spellEnd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=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OperationCompte</w:t>
      </w:r>
      <w:r w:rsidRPr="00BE7257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.</w:t>
      </w:r>
      <w:r w:rsidRPr="00BE7257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idoperation</w:t>
      </w:r>
      <w:proofErr w:type="spellEnd"/>
    </w:p>
    <w:p w:rsidR="005241E6" w:rsidRPr="006108A3" w:rsidRDefault="005241E6" w:rsidP="005241E6">
      <w:pPr>
        <w:rPr>
          <w:lang w:val="en-US"/>
        </w:rPr>
      </w:pPr>
    </w:p>
    <w:p w:rsidR="000F7A9B" w:rsidRPr="000D6CCC" w:rsidRDefault="000F7A9B" w:rsidP="005241E6">
      <w:r w:rsidRPr="000D6CCC">
        <w:t>Echange du 19/03/2022</w:t>
      </w:r>
    </w:p>
    <w:p w:rsidR="007669EB" w:rsidRPr="000D6CCC" w:rsidRDefault="000F7A9B" w:rsidP="005241E6">
      <w:r w:rsidRPr="000D6CCC">
        <w:t>GESTION DES MALADES</w:t>
      </w:r>
    </w:p>
    <w:p w:rsidR="005241E6" w:rsidRDefault="000D6CCC" w:rsidP="005241E6">
      <w:r w:rsidRPr="000D6CCC">
        <w:lastRenderedPageBreak/>
        <w:t>D</w:t>
      </w:r>
      <w:r>
        <w:t xml:space="preserve">onner aux </w:t>
      </w:r>
      <w:r w:rsidR="00954A0D">
        <w:t>infirmiers</w:t>
      </w:r>
      <w:r>
        <w:t xml:space="preserve"> la possibilité de voir les malades enregistrés à la </w:t>
      </w:r>
      <w:r w:rsidR="00954A0D">
        <w:t>Réception</w:t>
      </w:r>
      <w:r w:rsidR="00642C77">
        <w:t xml:space="preserve"> </w:t>
      </w:r>
      <w:r>
        <w:t>et celle de les affecter aux différents cabinets des médecins</w:t>
      </w:r>
      <w:r w:rsidR="0042539B">
        <w:t xml:space="preserve"> (qui a payé pour les consultations ?, qui doit consulter tel malade)</w:t>
      </w:r>
      <w:r>
        <w:t>.</w:t>
      </w:r>
      <w:r w:rsidR="00B96CAB">
        <w:t xml:space="preserve"> Pour cela on prévoit un agenda électronique des patients enregistrés pour consultation. La réception enregistre le patient </w:t>
      </w:r>
      <w:r w:rsidR="00192AE7">
        <w:t xml:space="preserve">dans cet agenda </w:t>
      </w:r>
      <w:r w:rsidR="00B96CAB">
        <w:t>au même clic de l’enregistrement du nouveau cas</w:t>
      </w:r>
      <w:r w:rsidR="00192AE7">
        <w:t xml:space="preserve"> dans la BDD.</w:t>
      </w:r>
      <w:r w:rsidR="00EE7680">
        <w:t xml:space="preserve"> Mais s’il s’agit d’un ancien cas, la réception l’ajoute </w:t>
      </w:r>
      <w:r w:rsidR="00831266">
        <w:t xml:space="preserve">en sélectionnant la ligne du patient dans le DGV d’affichage après recherche du </w:t>
      </w:r>
      <w:r w:rsidR="00EE7680">
        <w:t>patient</w:t>
      </w:r>
      <w:r w:rsidR="00831266">
        <w:t xml:space="preserve"> dans la BDD.</w:t>
      </w:r>
    </w:p>
    <w:p w:rsidR="003C12C5" w:rsidRDefault="003C12C5" w:rsidP="005241E6">
      <w:r>
        <w:t xml:space="preserve">[Solution : l’affectation des patients au médecin se fera depuis la réception. Celle-ci devra voir combien de patients sont déjà affectés à tel médecin sur le même formulaire d’enregistrement du patient. Pour un ancien cas, dès que la ligne est </w:t>
      </w:r>
      <w:r w:rsidR="00960ABC">
        <w:t>sélectionnée</w:t>
      </w:r>
      <w:r>
        <w:t xml:space="preserve"> le bouton d’affectation s’active, et si un médecin est choisi dans la liste l’affection se fait dans l’agenda]</w:t>
      </w:r>
    </w:p>
    <w:p w:rsidR="00CE7C95" w:rsidRDefault="00625013" w:rsidP="005241E6">
      <w:r>
        <w:t>Donner au médecin la possibilité de voir la liste de malades lui affectés à consulter</w:t>
      </w:r>
      <w:r w:rsidR="00E07953">
        <w:t xml:space="preserve">. Une fois qu’un cas est consulté alors </w:t>
      </w:r>
      <w:r w:rsidR="002727DA">
        <w:t>le retirer de l’agenda.</w:t>
      </w:r>
    </w:p>
    <w:p w:rsidR="00657287" w:rsidRDefault="00657287" w:rsidP="005241E6">
      <w:proofErr w:type="gramStart"/>
      <w:r>
        <w:t>Avantages</w:t>
      </w:r>
      <w:proofErr w:type="gramEnd"/>
      <w:r>
        <w:t> :</w:t>
      </w:r>
    </w:p>
    <w:p w:rsidR="00657287" w:rsidRDefault="00657287" w:rsidP="00657287">
      <w:pPr>
        <w:pStyle w:val="Paragraphedeliste"/>
        <w:numPr>
          <w:ilvl w:val="0"/>
          <w:numId w:val="5"/>
        </w:numPr>
      </w:pPr>
      <w:r>
        <w:t>Pas de perte de fiche</w:t>
      </w:r>
    </w:p>
    <w:p w:rsidR="00657287" w:rsidRDefault="00657287" w:rsidP="00657287">
      <w:pPr>
        <w:pStyle w:val="Paragraphedeliste"/>
        <w:numPr>
          <w:ilvl w:val="0"/>
          <w:numId w:val="5"/>
        </w:numPr>
      </w:pPr>
      <w:r>
        <w:t>Faciliter de retracer une fiche</w:t>
      </w:r>
      <w:r w:rsidR="0042539B">
        <w:t xml:space="preserve"> (qui l’</w:t>
      </w:r>
      <w:r w:rsidR="00CA06A7">
        <w:t>a consulté</w:t>
      </w:r>
      <w:r w:rsidR="0042539B">
        <w:t>)</w:t>
      </w:r>
    </w:p>
    <w:p w:rsidR="00CC4771" w:rsidRDefault="00CC4771" w:rsidP="00CC4771">
      <w:pPr>
        <w:ind w:left="360"/>
      </w:pPr>
      <w:r>
        <w:t>GESTION DES ABONNES</w:t>
      </w:r>
    </w:p>
    <w:p w:rsidR="00CC4771" w:rsidRDefault="00C934CD" w:rsidP="00CC4771">
      <w:pPr>
        <w:ind w:left="360"/>
      </w:pPr>
      <w:r>
        <w:t>Voir le fichier des enregistrements utilisé pour les abonnés.</w:t>
      </w:r>
    </w:p>
    <w:p w:rsidR="00C934CD" w:rsidRPr="000D6CCC" w:rsidRDefault="008F3CBB" w:rsidP="00CC4771">
      <w:pPr>
        <w:ind w:left="360"/>
      </w:pPr>
      <w:r>
        <w:t xml:space="preserve">Prévoir un </w:t>
      </w:r>
      <w:r w:rsidR="00D84151">
        <w:t>agenda électronique</w:t>
      </w:r>
      <w:r w:rsidR="008A3F11">
        <w:t xml:space="preserve"> </w:t>
      </w:r>
      <w:r w:rsidR="002C76B9">
        <w:t xml:space="preserve">pour l’enregistrement de consommations (services, produits) par les abonnés </w:t>
      </w:r>
      <w:r w:rsidR="00046BD2">
        <w:t>en absence du gestionnaire des abonnés</w:t>
      </w:r>
      <w:r w:rsidR="00073AAF">
        <w:t>.</w:t>
      </w:r>
      <w:r w:rsidR="004216F6">
        <w:t xml:space="preserve"> Cet agenda sera utilisé à la </w:t>
      </w:r>
      <w:r w:rsidR="00954A0D">
        <w:t>réception</w:t>
      </w:r>
      <w:r w:rsidR="004216F6">
        <w:t xml:space="preserve"> ou à la salle de soins.</w:t>
      </w:r>
      <w:r w:rsidR="003414E7">
        <w:t xml:space="preserve"> Pour tout cas de gestion de malades, quand la réception est fermée, la salle de soins peut faire l’affaire.</w:t>
      </w:r>
    </w:p>
    <w:p w:rsidR="005241E6" w:rsidRPr="001F67BB" w:rsidRDefault="001F67BB" w:rsidP="005241E6">
      <w:pPr>
        <w:rPr>
          <w:b/>
        </w:rPr>
      </w:pPr>
      <w:r w:rsidRPr="001F67BB">
        <w:rPr>
          <w:b/>
        </w:rPr>
        <w:t>Date : 18/05/2022</w:t>
      </w:r>
    </w:p>
    <w:p w:rsidR="001F67BB" w:rsidRDefault="003118E8" w:rsidP="005241E6">
      <w:r>
        <w:t>Dans Renseignement, </w:t>
      </w:r>
      <w:proofErr w:type="spellStart"/>
      <w:r>
        <w:t>FormExamen</w:t>
      </w:r>
      <w:proofErr w:type="spellEnd"/>
      <w:r>
        <w:t xml:space="preserve">, </w:t>
      </w:r>
      <w:proofErr w:type="spellStart"/>
      <w:r>
        <w:t>MaladieDiagnostic</w:t>
      </w:r>
      <w:proofErr w:type="spellEnd"/>
      <w:r>
        <w:t xml:space="preserve">, </w:t>
      </w:r>
      <w:r w:rsidR="00047EA8">
        <w:t xml:space="preserve">avoir une variable </w:t>
      </w:r>
      <w:proofErr w:type="spellStart"/>
      <w:r w:rsidR="00047EA8">
        <w:t>nbligne_trouvé</w:t>
      </w:r>
      <w:proofErr w:type="spellEnd"/>
      <w:r w:rsidR="00047EA8">
        <w:t xml:space="preserve"> qui doit contenir le nombre de lignes (Renseignement, Maladie, Examens) trouvées</w:t>
      </w:r>
      <w:r w:rsidR="00F85F79">
        <w:t xml:space="preserve"> en rapport avec une Consultation pour permettre un ajout de ce qu’on a oublié, la modification ou la suppression.</w:t>
      </w:r>
    </w:p>
    <w:p w:rsidR="00901FEE" w:rsidRDefault="00901FEE" w:rsidP="005241E6">
      <w:r>
        <w:t xml:space="preserve">L’ajout en question testera la variable ; si elle à 0, enregistrer normalement ; sinon </w:t>
      </w:r>
      <w:r w:rsidR="0068625E">
        <w:t xml:space="preserve">ajouter seules les nouvelles lignes, alors que les anciennes seront automatique retirées du </w:t>
      </w:r>
      <w:proofErr w:type="spellStart"/>
      <w:r w:rsidR="0068625E">
        <w:t>dgv</w:t>
      </w:r>
      <w:proofErr w:type="spellEnd"/>
      <w:r w:rsidR="0068625E">
        <w:t>.</w:t>
      </w:r>
      <w:r w:rsidR="001F2736">
        <w:t xml:space="preserve"> Si cet ajout se fait ainsi dans les Renseignements, </w:t>
      </w:r>
      <w:r w:rsidR="00650863">
        <w:t>activer le combo motif pour permettre le choix.</w:t>
      </w:r>
    </w:p>
    <w:p w:rsidR="00571C4B" w:rsidRPr="000D6CCC" w:rsidRDefault="00571C4B" w:rsidP="005241E6">
      <w:r>
        <w:t>Pas de modification du nom d’examen à la consultation.</w:t>
      </w:r>
    </w:p>
    <w:p w:rsidR="00BB4E20" w:rsidRDefault="00950B99">
      <w:r>
        <w:t>19/05/2022</w:t>
      </w:r>
    </w:p>
    <w:p w:rsidR="00950B99" w:rsidRDefault="004F19F2">
      <w:r>
        <w:t xml:space="preserve">Pour permettre la modification et la suppression dans Renseignement, </w:t>
      </w:r>
      <w:r w:rsidR="00C21B9D">
        <w:t>il faut que chaque affichage fait à partir des item</w:t>
      </w:r>
      <w:r w:rsidR="006B2DD4">
        <w:t>s</w:t>
      </w:r>
      <w:r w:rsidR="00C21B9D">
        <w:t xml:space="preserve"> du Menu contextuel sur le </w:t>
      </w:r>
      <w:proofErr w:type="spellStart"/>
      <w:r w:rsidR="00C21B9D">
        <w:t>dgv</w:t>
      </w:r>
      <w:proofErr w:type="spellEnd"/>
      <w:r w:rsidR="00C21B9D">
        <w:t xml:space="preserve"> du </w:t>
      </w:r>
      <w:proofErr w:type="spellStart"/>
      <w:r w:rsidR="00C21B9D">
        <w:t>FormConsultation</w:t>
      </w:r>
      <w:proofErr w:type="spellEnd"/>
      <w:r w:rsidR="00C21B9D">
        <w:t xml:space="preserve">, affecte à </w:t>
      </w:r>
      <w:proofErr w:type="spellStart"/>
      <w:r w:rsidR="00C21B9D">
        <w:t>cboMotif</w:t>
      </w:r>
      <w:proofErr w:type="spellEnd"/>
      <w:r w:rsidR="00C21B9D">
        <w:t xml:space="preserve"> le motif de recherche</w:t>
      </w:r>
      <w:r w:rsidR="009F2B33">
        <w:t xml:space="preserve"> et appelle </w:t>
      </w:r>
      <w:proofErr w:type="gramStart"/>
      <w:r w:rsidR="009F2B33">
        <w:t>affiche</w:t>
      </w:r>
      <w:r w:rsidR="000B58E6">
        <w:t>r</w:t>
      </w:r>
      <w:r w:rsidR="009F2B33">
        <w:t>(</w:t>
      </w:r>
      <w:proofErr w:type="gramEnd"/>
      <w:r w:rsidR="009F2B33">
        <w:t>) avec le même motif</w:t>
      </w:r>
      <w:r w:rsidR="002240FF">
        <w:t xml:space="preserve"> comme 2è paramètre</w:t>
      </w:r>
      <w:r w:rsidR="00C21B9D">
        <w:t>.</w:t>
      </w:r>
    </w:p>
    <w:p w:rsidR="00B9402C" w:rsidRDefault="00C7053B">
      <w:r>
        <w:t>21/05/2022 ABONNE</w:t>
      </w:r>
    </w:p>
    <w:p w:rsidR="00963A86" w:rsidRDefault="00F40DB9">
      <w:r>
        <w:t xml:space="preserve">Adaptez le rapport comme demandé par </w:t>
      </w:r>
      <w:proofErr w:type="spellStart"/>
      <w:r>
        <w:t>Annithe</w:t>
      </w:r>
      <w:proofErr w:type="spellEnd"/>
    </w:p>
    <w:p w:rsidR="00F40DB9" w:rsidRDefault="005D13AE">
      <w:r>
        <w:t>Retrouver toutes les dépenses (transfert, achat lunettes) pour le compte d’un abonné à la génération du rapport de ses consommations.</w:t>
      </w:r>
    </w:p>
    <w:p w:rsidR="00F40DB9" w:rsidRDefault="0067460D">
      <w:r>
        <w:t>COMPTABILITE</w:t>
      </w:r>
    </w:p>
    <w:p w:rsidR="0067460D" w:rsidRDefault="0067460D">
      <w:r>
        <w:lastRenderedPageBreak/>
        <w:t xml:space="preserve">Achat à crédit : </w:t>
      </w:r>
      <w:r w:rsidR="00B85D39">
        <w:t xml:space="preserve">créance </w:t>
      </w:r>
      <w:r w:rsidR="00BE5816">
        <w:t>f</w:t>
      </w:r>
      <w:r w:rsidR="00AC7BFB">
        <w:t>ournisseurs</w:t>
      </w:r>
      <w:r>
        <w:t xml:space="preserve"> ++, compte achats ++,</w:t>
      </w:r>
    </w:p>
    <w:p w:rsidR="0067460D" w:rsidRDefault="0067460D">
      <w:r>
        <w:t>Achat au comptant </w:t>
      </w:r>
      <w:r w:rsidR="000C4E72">
        <w:t xml:space="preserve">par caisse </w:t>
      </w:r>
      <w:r>
        <w:t xml:space="preserve">: </w:t>
      </w:r>
      <w:r w:rsidR="000C4E72">
        <w:t>caisse--, compte achat ++</w:t>
      </w:r>
    </w:p>
    <w:p w:rsidR="00B85D39" w:rsidRDefault="00CE7F2B">
      <w:r>
        <w:t>Vente à crédit </w:t>
      </w:r>
      <w:r w:rsidR="00B85D39">
        <w:t xml:space="preserve">de produits </w:t>
      </w:r>
      <w:r>
        <w:t xml:space="preserve">: </w:t>
      </w:r>
      <w:r w:rsidR="00BE5816">
        <w:t xml:space="preserve">créance </w:t>
      </w:r>
      <w:r w:rsidR="00B85D39">
        <w:t xml:space="preserve">clients </w:t>
      </w:r>
      <w:r w:rsidR="0038789C">
        <w:t xml:space="preserve">++, </w:t>
      </w:r>
      <w:r w:rsidR="00B85D39">
        <w:t>stock produit --,</w:t>
      </w:r>
    </w:p>
    <w:p w:rsidR="00B85D39" w:rsidRDefault="00B85D39">
      <w:r>
        <w:t>Vente au comptant de produits : caisse ++, stock produit --,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2041"/>
      </w:tblGrid>
      <w:tr w:rsidR="00652501" w:rsidTr="00652501">
        <w:trPr>
          <w:trHeight w:val="270"/>
        </w:trPr>
        <w:tc>
          <w:tcPr>
            <w:tcW w:w="4081" w:type="dxa"/>
            <w:gridSpan w:val="2"/>
            <w:vAlign w:val="center"/>
          </w:tcPr>
          <w:p w:rsidR="00652501" w:rsidRPr="00406286" w:rsidRDefault="00652501" w:rsidP="00652501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au comptant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  <w:shd w:val="clear" w:color="auto" w:fill="D5DCE4" w:themeFill="text2" w:themeFillTint="33"/>
          </w:tcPr>
          <w:p w:rsidR="00652501" w:rsidRDefault="00652501">
            <w:r>
              <w:t>Débit</w:t>
            </w:r>
          </w:p>
        </w:tc>
        <w:tc>
          <w:tcPr>
            <w:tcW w:w="2041" w:type="dxa"/>
            <w:shd w:val="clear" w:color="auto" w:fill="D5DCE4" w:themeFill="text2" w:themeFillTint="33"/>
          </w:tcPr>
          <w:p w:rsidR="00652501" w:rsidRDefault="00406286">
            <w:r>
              <w:t>Crédit</w:t>
            </w:r>
          </w:p>
        </w:tc>
      </w:tr>
      <w:tr w:rsidR="00652501" w:rsidTr="00406286">
        <w:trPr>
          <w:trHeight w:val="282"/>
        </w:trPr>
        <w:tc>
          <w:tcPr>
            <w:tcW w:w="2040" w:type="dxa"/>
          </w:tcPr>
          <w:p w:rsidR="00652501" w:rsidRDefault="006B7062">
            <w:r>
              <w:t>stock</w:t>
            </w:r>
          </w:p>
        </w:tc>
        <w:tc>
          <w:tcPr>
            <w:tcW w:w="2041" w:type="dxa"/>
          </w:tcPr>
          <w:p w:rsidR="00652501" w:rsidRDefault="00406286" w:rsidP="00406286">
            <w:r>
              <w:t>Variation stock</w:t>
            </w:r>
          </w:p>
        </w:tc>
      </w:tr>
      <w:tr w:rsidR="00652501" w:rsidTr="00406286">
        <w:trPr>
          <w:trHeight w:val="270"/>
        </w:trPr>
        <w:tc>
          <w:tcPr>
            <w:tcW w:w="2040" w:type="dxa"/>
          </w:tcPr>
          <w:p w:rsidR="00652501" w:rsidRDefault="006B7062">
            <w:r>
              <w:t>Achats</w:t>
            </w:r>
          </w:p>
        </w:tc>
        <w:tc>
          <w:tcPr>
            <w:tcW w:w="2041" w:type="dxa"/>
          </w:tcPr>
          <w:p w:rsidR="00652501" w:rsidRDefault="00406286">
            <w:r>
              <w:t>Trésorerie</w:t>
            </w:r>
            <w:r w:rsidR="00AF776C">
              <w:t xml:space="preserve"> - caisse</w:t>
            </w:r>
          </w:p>
        </w:tc>
      </w:tr>
      <w:tr w:rsidR="00406286" w:rsidTr="00406286">
        <w:trPr>
          <w:trHeight w:val="270"/>
        </w:trPr>
        <w:tc>
          <w:tcPr>
            <w:tcW w:w="4081" w:type="dxa"/>
            <w:gridSpan w:val="2"/>
            <w:vAlign w:val="center"/>
          </w:tcPr>
          <w:p w:rsidR="00406286" w:rsidRPr="00406286" w:rsidRDefault="00406286" w:rsidP="00406286">
            <w:pPr>
              <w:jc w:val="center"/>
              <w:rPr>
                <w:b/>
              </w:rPr>
            </w:pPr>
            <w:r w:rsidRPr="00406286">
              <w:rPr>
                <w:b/>
              </w:rPr>
              <w:t>Achat à crédit</w:t>
            </w:r>
          </w:p>
        </w:tc>
      </w:tr>
      <w:tr w:rsidR="00406286" w:rsidTr="00406286">
        <w:trPr>
          <w:trHeight w:val="270"/>
        </w:trPr>
        <w:tc>
          <w:tcPr>
            <w:tcW w:w="2040" w:type="dxa"/>
          </w:tcPr>
          <w:p w:rsidR="00406286" w:rsidRDefault="00406286" w:rsidP="00406286">
            <w:r>
              <w:t>stock</w:t>
            </w:r>
          </w:p>
        </w:tc>
        <w:tc>
          <w:tcPr>
            <w:tcW w:w="2041" w:type="dxa"/>
          </w:tcPr>
          <w:p w:rsidR="00406286" w:rsidRDefault="00413469" w:rsidP="00406286">
            <w:r>
              <w:t>Variation stock</w:t>
            </w:r>
          </w:p>
        </w:tc>
      </w:tr>
      <w:tr w:rsidR="00406286" w:rsidTr="00406286">
        <w:trPr>
          <w:trHeight w:val="282"/>
        </w:trPr>
        <w:tc>
          <w:tcPr>
            <w:tcW w:w="2040" w:type="dxa"/>
          </w:tcPr>
          <w:p w:rsidR="00406286" w:rsidRDefault="00406286" w:rsidP="00406286">
            <w:r>
              <w:t>Achats</w:t>
            </w:r>
          </w:p>
        </w:tc>
        <w:tc>
          <w:tcPr>
            <w:tcW w:w="2041" w:type="dxa"/>
          </w:tcPr>
          <w:p w:rsidR="00406286" w:rsidRDefault="00FD5DD7" w:rsidP="00406286">
            <w:r>
              <w:t>Fournisseur</w:t>
            </w:r>
          </w:p>
        </w:tc>
      </w:tr>
      <w:tr w:rsidR="00FD5DD7" w:rsidTr="00FD5DD7">
        <w:trPr>
          <w:trHeight w:val="270"/>
        </w:trPr>
        <w:tc>
          <w:tcPr>
            <w:tcW w:w="4081" w:type="dxa"/>
            <w:gridSpan w:val="2"/>
            <w:vAlign w:val="center"/>
          </w:tcPr>
          <w:p w:rsidR="00FD5DD7" w:rsidRPr="00FD5DD7" w:rsidRDefault="00FD5DD7" w:rsidP="00FD5DD7">
            <w:pPr>
              <w:jc w:val="center"/>
              <w:rPr>
                <w:b/>
              </w:rPr>
            </w:pPr>
            <w:r w:rsidRPr="00FD5DD7">
              <w:rPr>
                <w:b/>
              </w:rPr>
              <w:t>Vente au comptant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327376">
            <w:r>
              <w:t>Caisse</w:t>
            </w:r>
          </w:p>
        </w:tc>
        <w:tc>
          <w:tcPr>
            <w:tcW w:w="2041" w:type="dxa"/>
          </w:tcPr>
          <w:p w:rsidR="00FD5DD7" w:rsidRDefault="0001436A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AF776C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Pr="0001436A" w:rsidRDefault="0001436A">
            <w:r w:rsidRPr="0001436A">
              <w:rPr>
                <w:color w:val="FF0000"/>
              </w:rPr>
              <w:t>stock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D5DD7"/>
        </w:tc>
        <w:tc>
          <w:tcPr>
            <w:tcW w:w="2041" w:type="dxa"/>
          </w:tcPr>
          <w:p w:rsidR="00FD5DD7" w:rsidRDefault="00FD5DD7"/>
        </w:tc>
      </w:tr>
      <w:tr w:rsidR="00BB4325" w:rsidTr="00BB4325">
        <w:trPr>
          <w:trHeight w:val="270"/>
        </w:trPr>
        <w:tc>
          <w:tcPr>
            <w:tcW w:w="4081" w:type="dxa"/>
            <w:gridSpan w:val="2"/>
            <w:vAlign w:val="center"/>
          </w:tcPr>
          <w:p w:rsidR="00BB4325" w:rsidRDefault="00BB4325" w:rsidP="00BB4325">
            <w:pPr>
              <w:jc w:val="center"/>
            </w:pPr>
            <w:r>
              <w:t>Vente à crédit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>
              <w:t>Clients</w:t>
            </w:r>
          </w:p>
        </w:tc>
        <w:tc>
          <w:tcPr>
            <w:tcW w:w="2041" w:type="dxa"/>
          </w:tcPr>
          <w:p w:rsidR="00FD5DD7" w:rsidRPr="00862482" w:rsidRDefault="00862482">
            <w:r>
              <w:t>Vente</w:t>
            </w:r>
          </w:p>
        </w:tc>
      </w:tr>
      <w:tr w:rsidR="00FD5DD7" w:rsidTr="00406286">
        <w:trPr>
          <w:trHeight w:val="270"/>
        </w:trPr>
        <w:tc>
          <w:tcPr>
            <w:tcW w:w="2040" w:type="dxa"/>
          </w:tcPr>
          <w:p w:rsidR="00FD5DD7" w:rsidRDefault="00F530D6">
            <w:r w:rsidRPr="008F506F">
              <w:rPr>
                <w:color w:val="FF0000"/>
              </w:rPr>
              <w:t>Variation stock</w:t>
            </w:r>
          </w:p>
        </w:tc>
        <w:tc>
          <w:tcPr>
            <w:tcW w:w="2041" w:type="dxa"/>
          </w:tcPr>
          <w:p w:rsidR="00FD5DD7" w:rsidRDefault="00862482">
            <w:r w:rsidRPr="00862482">
              <w:rPr>
                <w:color w:val="FF0000"/>
              </w:rPr>
              <w:t>stock</w:t>
            </w:r>
          </w:p>
        </w:tc>
      </w:tr>
    </w:tbl>
    <w:p w:rsidR="00652501" w:rsidRDefault="00652501"/>
    <w:p w:rsidR="003E5D4B" w:rsidRPr="00322EB3" w:rsidRDefault="003E5D4B">
      <w:pPr>
        <w:rPr>
          <w:b/>
        </w:rPr>
      </w:pPr>
      <w:r w:rsidRPr="00322EB3">
        <w:rPr>
          <w:b/>
        </w:rPr>
        <w:t>Comptes de c</w:t>
      </w:r>
      <w:r w:rsidR="00B71C47" w:rsidRPr="00322EB3">
        <w:rPr>
          <w:b/>
        </w:rPr>
        <w:t>h</w:t>
      </w:r>
      <w:r w:rsidRPr="00322EB3">
        <w:rPr>
          <w:b/>
        </w:rPr>
        <w:t>arges pertinents manquants </w:t>
      </w:r>
      <w:r w:rsidR="00350580" w:rsidRPr="00322EB3">
        <w:rPr>
          <w:b/>
        </w:rPr>
        <w:t>dans</w:t>
      </w:r>
      <w:r w:rsidR="00D85CB4" w:rsidRPr="00322EB3">
        <w:rPr>
          <w:b/>
        </w:rPr>
        <w:t xml:space="preserve"> le plan comptable de la SUMEDCO :</w:t>
      </w:r>
      <w:r w:rsidRPr="00322EB3">
        <w:rPr>
          <w:b/>
        </w:rPr>
        <w:t xml:space="preserve"> </w:t>
      </w:r>
    </w:p>
    <w:p w:rsidR="003E5D4B" w:rsidRDefault="003E5D4B">
      <w:r>
        <w:rPr>
          <w:noProof/>
          <w:lang w:eastAsia="fr-FR"/>
        </w:rPr>
        <w:drawing>
          <wp:inline distT="0" distB="0" distL="0" distR="0" wp14:anchorId="7A76581E" wp14:editId="40B9ECA1">
            <wp:extent cx="3276600" cy="828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2" w:rsidRPr="0098532A" w:rsidRDefault="009E6F50">
      <w:pPr>
        <w:rPr>
          <w:b/>
        </w:rPr>
      </w:pPr>
      <w:r w:rsidRPr="0098532A">
        <w:rPr>
          <w:b/>
        </w:rPr>
        <w:t>COMPTABILITE ANALYTIQUE</w:t>
      </w:r>
    </w:p>
    <w:p w:rsidR="00CE71F2" w:rsidRDefault="00CE71F2">
      <w:r>
        <w:t>Charges</w:t>
      </w:r>
      <w:r>
        <w:br/>
      </w:r>
      <w:r w:rsidR="004B7F84">
        <w:t>Que consomme chaque service</w:t>
      </w:r>
      <w:r w:rsidR="00401F00">
        <w:t xml:space="preserve"> (chaque compte pour lequel on dépense)</w:t>
      </w:r>
      <w:r w:rsidR="004B7F84">
        <w:t xml:space="preserve"> en termes de charges (en chiffres et en %)</w:t>
      </w:r>
    </w:p>
    <w:p w:rsidR="00181C73" w:rsidRDefault="00181C73">
      <w:r>
        <w:t>Recettes</w:t>
      </w:r>
    </w:p>
    <w:p w:rsidR="00181C73" w:rsidRDefault="00181C73">
      <w:r>
        <w:t xml:space="preserve">Que rapporte chaque service </w:t>
      </w:r>
      <w:r w:rsidR="00401F00">
        <w:t xml:space="preserve">(chaque compte pour lequel on dépense) </w:t>
      </w:r>
      <w:r>
        <w:t>en termes de recettes (en chiffres et en %)</w:t>
      </w:r>
    </w:p>
    <w:p w:rsidR="00CC49A4" w:rsidRDefault="00CC49A4"/>
    <w:p w:rsidR="00CC49A4" w:rsidRDefault="00CC49A4">
      <w:r>
        <w:t>=================================================</w:t>
      </w:r>
    </w:p>
    <w:p w:rsidR="00286469" w:rsidRDefault="00B55ADD">
      <w:r w:rsidRPr="00310733">
        <w:rPr>
          <w:color w:val="00B050"/>
        </w:rPr>
        <w:t>La difficulté de faire les achats en USD : faut-il que chaque compte soit dupliqué pour les opération</w:t>
      </w:r>
      <w:r w:rsidR="000D04C5" w:rsidRPr="00310733">
        <w:rPr>
          <w:color w:val="00B050"/>
        </w:rPr>
        <w:t>s</w:t>
      </w:r>
      <w:r w:rsidRPr="00310733">
        <w:rPr>
          <w:color w:val="00B050"/>
        </w:rPr>
        <w:t xml:space="preserve"> en CDF et en USD.</w:t>
      </w:r>
    </w:p>
    <w:p w:rsidR="0049355B" w:rsidRPr="0049355B" w:rsidRDefault="0049355B">
      <w:pPr>
        <w:rPr>
          <w:i/>
        </w:rPr>
      </w:pPr>
      <w:r>
        <w:rPr>
          <w:i/>
        </w:rPr>
        <w:t xml:space="preserve">Réponse : </w:t>
      </w:r>
      <w:r w:rsidR="00674149">
        <w:rPr>
          <w:i/>
        </w:rPr>
        <w:t>Il faut donner la possibilité de choisi la caisse concernée par une recette ou une dépense pour bien résoudre le problème de ces deux monnaies.</w:t>
      </w:r>
    </w:p>
    <w:p w:rsidR="004543F5" w:rsidRDefault="00025646">
      <w:r>
        <w:t>Le</w:t>
      </w:r>
      <w:r w:rsidR="0056360B">
        <w:t xml:space="preserve"> compte de stock pour les tubes à essais n’existe pas !</w:t>
      </w:r>
      <w:r w:rsidR="00540979">
        <w:t xml:space="preserve"> Même chose pour la variation de stock</w:t>
      </w:r>
    </w:p>
    <w:p w:rsidR="00025646" w:rsidRDefault="00265FFB">
      <w:r>
        <w:t>Comment les imprimés peuvent-il être vus comme stock ?</w:t>
      </w:r>
    </w:p>
    <w:p w:rsidR="003C4E3D" w:rsidRDefault="003C4E3D">
      <w:r>
        <w:lastRenderedPageBreak/>
        <w:t>Actif circulant HAO </w:t>
      </w:r>
      <w:r w:rsidR="00F52B84">
        <w:t>dans le bilan</w:t>
      </w:r>
      <w:r>
        <w:t>: on voit quoi à la Polyclinique ?</w:t>
      </w:r>
    </w:p>
    <w:p w:rsidR="00D91929" w:rsidRDefault="00B95839">
      <w:r w:rsidRPr="00B95839">
        <w:t>Débiteurs et créditeurs divers</w:t>
      </w:r>
      <w:r>
        <w:t> : Qu’</w:t>
      </w:r>
      <w:r w:rsidR="00721C2B">
        <w:t>est-</w:t>
      </w:r>
      <w:r>
        <w:t>ce qu’on entend par là ?</w:t>
      </w:r>
    </w:p>
    <w:p w:rsidR="001A3876" w:rsidRDefault="00AB51BB">
      <w:r w:rsidRPr="00AB51BB">
        <w:t>Titres de placement</w:t>
      </w:r>
      <w:r w:rsidR="00F52B84">
        <w:t xml:space="preserve"> dans le bilan</w:t>
      </w:r>
      <w:r>
        <w:t> : ce quoi et quel compte chez SUMEDCO ?</w:t>
      </w:r>
    </w:p>
    <w:p w:rsidR="009D583B" w:rsidRDefault="009D583B">
      <w:r w:rsidRPr="009D583B">
        <w:t>Banques dépôt à terme</w:t>
      </w:r>
      <w:r>
        <w:t> : pour y mettre quoi ?</w:t>
      </w:r>
    </w:p>
    <w:p w:rsidR="00E23A4F" w:rsidRDefault="00466EE6">
      <w:r>
        <w:t xml:space="preserve">Peut-on assimiler </w:t>
      </w:r>
      <w:proofErr w:type="spellStart"/>
      <w:r w:rsidRPr="00466EE6">
        <w:rPr>
          <w:b/>
        </w:rPr>
        <w:t>Regies</w:t>
      </w:r>
      <w:proofErr w:type="spellEnd"/>
      <w:r w:rsidRPr="00466EE6">
        <w:rPr>
          <w:b/>
        </w:rPr>
        <w:t xml:space="preserve"> d'avances, Accréditifs et VIR</w:t>
      </w:r>
      <w:r>
        <w:t xml:space="preserve"> et </w:t>
      </w:r>
      <w:r w:rsidRPr="00035A51">
        <w:rPr>
          <w:b/>
        </w:rPr>
        <w:t>Virements de fonds</w:t>
      </w:r>
      <w:r>
        <w:t xml:space="preserve"> </w:t>
      </w:r>
      <w:r w:rsidR="00035A51">
        <w:t>à la rubrique</w:t>
      </w:r>
      <w:r>
        <w:t xml:space="preserve"> </w:t>
      </w:r>
      <w:r w:rsidRPr="00466EE6">
        <w:rPr>
          <w:b/>
        </w:rPr>
        <w:t>Banques, chèques postaux, caisse et assimilés</w:t>
      </w:r>
      <w:r w:rsidR="00F20F8F">
        <w:rPr>
          <w:b/>
        </w:rPr>
        <w:t xml:space="preserve"> </w:t>
      </w:r>
      <w:r w:rsidR="00936FCA">
        <w:t>dans le bilan</w:t>
      </w:r>
    </w:p>
    <w:p w:rsidR="00197488" w:rsidRPr="00936FCA" w:rsidRDefault="00F52B84">
      <w:r w:rsidRPr="00197488">
        <w:t>Perte</w:t>
      </w:r>
      <w:r w:rsidR="00197488" w:rsidRPr="00197488">
        <w:t xml:space="preserve"> nette à reporter</w:t>
      </w:r>
      <w:r w:rsidR="00197488">
        <w:t xml:space="preserve"> en quoi </w:t>
      </w:r>
      <w:r>
        <w:t>est-ce différent</w:t>
      </w:r>
      <w:r w:rsidR="00197488">
        <w:t xml:space="preserve"> de report à nouveau créditeur et/ou débiteur ?</w:t>
      </w:r>
    </w:p>
    <w:p w:rsidR="00F52B84" w:rsidRDefault="00F52B84" w:rsidP="003A0AF5">
      <w:pPr>
        <w:rPr>
          <w:lang w:eastAsia="fr-FR"/>
        </w:rPr>
      </w:pPr>
      <w:r w:rsidRPr="00F52B84">
        <w:rPr>
          <w:lang w:eastAsia="fr-FR"/>
        </w:rPr>
        <w:t>Dettes de location-acquisition</w:t>
      </w:r>
      <w:r w:rsidR="007C187E">
        <w:rPr>
          <w:lang w:eastAsia="fr-FR"/>
        </w:rPr>
        <w:t xml:space="preserve"> dans le bilan : c’est quoi dans le plan comptable chez </w:t>
      </w:r>
      <w:proofErr w:type="spellStart"/>
      <w:r w:rsidR="007C187E">
        <w:rPr>
          <w:lang w:eastAsia="fr-FR"/>
        </w:rPr>
        <w:t>sumedco</w:t>
      </w:r>
      <w:proofErr w:type="spellEnd"/>
      <w:r w:rsidR="007C187E">
        <w:rPr>
          <w:lang w:eastAsia="fr-FR"/>
        </w:rPr>
        <w:t> ?</w:t>
      </w:r>
    </w:p>
    <w:p w:rsidR="007E0F9D" w:rsidRDefault="007E0F9D" w:rsidP="003A0AF5">
      <w:pPr>
        <w:rPr>
          <w:lang w:eastAsia="fr-FR"/>
        </w:rPr>
      </w:pPr>
    </w:p>
    <w:p w:rsidR="007E0F9D" w:rsidRDefault="007E0F9D" w:rsidP="003A0AF5">
      <w:pPr>
        <w:rPr>
          <w:lang w:eastAsia="fr-FR"/>
        </w:rPr>
      </w:pPr>
      <w:r>
        <w:rPr>
          <w:lang w:eastAsia="fr-FR"/>
        </w:rPr>
        <w:t>21/06/2022</w:t>
      </w:r>
    </w:p>
    <w:p w:rsidR="00112BC9" w:rsidRDefault="00112BC9" w:rsidP="003A0AF5">
      <w:pPr>
        <w:rPr>
          <w:lang w:eastAsia="fr-FR"/>
        </w:rPr>
      </w:pPr>
      <w:r>
        <w:rPr>
          <w:lang w:eastAsia="fr-FR"/>
        </w:rPr>
        <w:t>Caisse</w:t>
      </w:r>
    </w:p>
    <w:p w:rsidR="00112BC9" w:rsidRDefault="00112BC9" w:rsidP="00112BC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Le choix d’une monnaie de perception active la caisse en CDF ou en USD pour la recette</w:t>
      </w:r>
    </w:p>
    <w:p w:rsidR="005E49B6" w:rsidRDefault="00156A4A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 la fin de la journée, les montant deux caisses de recettes sont virés dans les comptes de virement de fonds (585001 pour CDF et 585002 pour USD)</w:t>
      </w:r>
      <w:r w:rsidR="00A23936">
        <w:rPr>
          <w:lang w:eastAsia="fr-FR"/>
        </w:rPr>
        <w:t xml:space="preserve"> et le rapport sur papier présenté sur papier à la caisse dépense pour vérification et signature et archivage.</w:t>
      </w:r>
    </w:p>
    <w:p w:rsidR="00F35D85" w:rsidRDefault="00F35D85" w:rsidP="005E49B6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Intégrer les nouveaux compte</w:t>
      </w:r>
      <w:r w:rsidR="00187C05">
        <w:rPr>
          <w:lang w:eastAsia="fr-FR"/>
        </w:rPr>
        <w:t>s</w:t>
      </w:r>
      <w:r>
        <w:rPr>
          <w:lang w:eastAsia="fr-FR"/>
        </w:rPr>
        <w:t xml:space="preserve"> caisse recettes (571101 et 571201) dans les opérations</w:t>
      </w:r>
    </w:p>
    <w:p w:rsidR="003915B3" w:rsidRDefault="00324B08" w:rsidP="003A0AF5">
      <w:pPr>
        <w:rPr>
          <w:lang w:eastAsia="fr-FR"/>
        </w:rPr>
      </w:pPr>
      <w:r>
        <w:rPr>
          <w:lang w:eastAsia="fr-FR"/>
        </w:rPr>
        <w:t>D</w:t>
      </w:r>
      <w:r w:rsidR="0030012F">
        <w:rPr>
          <w:lang w:eastAsia="fr-FR"/>
        </w:rPr>
        <w:t>é</w:t>
      </w:r>
      <w:r>
        <w:rPr>
          <w:lang w:eastAsia="fr-FR"/>
        </w:rPr>
        <w:t xml:space="preserve">pense </w:t>
      </w:r>
    </w:p>
    <w:p w:rsidR="007E0F9D" w:rsidRDefault="00324B08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la </w:t>
      </w:r>
      <w:proofErr w:type="spellStart"/>
      <w:r>
        <w:rPr>
          <w:lang w:eastAsia="fr-FR"/>
        </w:rPr>
        <w:t>refrequisition</w:t>
      </w:r>
      <w:proofErr w:type="spellEnd"/>
      <w:r>
        <w:rPr>
          <w:lang w:eastAsia="fr-FR"/>
        </w:rPr>
        <w:t xml:space="preserve"> dans la BDD et dans les opérations concernées</w:t>
      </w:r>
    </w:p>
    <w:p w:rsidR="00020A2A" w:rsidRDefault="00020A2A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intégrer les nouveaux comptes caisse </w:t>
      </w:r>
      <w:r w:rsidR="00BD3524">
        <w:rPr>
          <w:lang w:eastAsia="fr-FR"/>
        </w:rPr>
        <w:t>dépenses</w:t>
      </w:r>
      <w:r>
        <w:rPr>
          <w:lang w:eastAsia="fr-FR"/>
        </w:rPr>
        <w:t xml:space="preserve"> (5</w:t>
      </w:r>
      <w:r w:rsidR="00BD3524">
        <w:rPr>
          <w:lang w:eastAsia="fr-FR"/>
        </w:rPr>
        <w:t>71102 et 571202</w:t>
      </w:r>
      <w:r>
        <w:rPr>
          <w:lang w:eastAsia="fr-FR"/>
        </w:rPr>
        <w:t>) dans les opérations</w:t>
      </w:r>
    </w:p>
    <w:p w:rsidR="003915B3" w:rsidRDefault="002829E0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le choix de monnaie doit déterminer de quelle caisse dépense (CDF ou USD) on veut soutirer l’argent</w:t>
      </w:r>
    </w:p>
    <w:p w:rsidR="0052139B" w:rsidRDefault="00D368C6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à la réception du rapport de la caisse recette </w:t>
      </w:r>
      <w:r w:rsidR="008B1C17">
        <w:rPr>
          <w:lang w:eastAsia="fr-FR"/>
        </w:rPr>
        <w:t>passer une écriture du compte de virements de fonds (585000) vers les caisses dépenses</w:t>
      </w:r>
    </w:p>
    <w:p w:rsidR="00944625" w:rsidRDefault="00944625" w:rsidP="003915B3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Dépense avec Produits d’entretien comme catégorie génère une erreur</w:t>
      </w:r>
    </w:p>
    <w:p w:rsidR="00D1237C" w:rsidRDefault="00B431C5">
      <w:pPr>
        <w:rPr>
          <w:lang w:eastAsia="fr-FR"/>
        </w:rPr>
      </w:pPr>
      <w:r>
        <w:rPr>
          <w:lang w:eastAsia="fr-FR"/>
        </w:rPr>
        <w:t>Comptabilité</w:t>
      </w:r>
    </w:p>
    <w:p w:rsidR="00B431C5" w:rsidRDefault="00B431C5" w:rsidP="00B431C5">
      <w:pPr>
        <w:pStyle w:val="Paragraphedeliste"/>
        <w:numPr>
          <w:ilvl w:val="0"/>
          <w:numId w:val="8"/>
        </w:numPr>
      </w:pPr>
      <w:r>
        <w:t xml:space="preserve">Chaque enregistrement d’une opération comptable doit être attaché à </w:t>
      </w:r>
      <w:r w:rsidR="009E7642">
        <w:t>l’utilisateur qui l’a faite : Caisse1, Caisse 2, Comptabilité.</w:t>
      </w:r>
    </w:p>
    <w:p w:rsidR="00454205" w:rsidRDefault="00454205" w:rsidP="00454205">
      <w:r>
        <w:t xml:space="preserve">Le type de données pour les attributs </w:t>
      </w:r>
      <w:proofErr w:type="spellStart"/>
      <w:r>
        <w:t>prixachat</w:t>
      </w:r>
      <w:proofErr w:type="spellEnd"/>
      <w:r>
        <w:t xml:space="preserve"> (table </w:t>
      </w:r>
      <w:proofErr w:type="spellStart"/>
      <w:r>
        <w:t>LigneAppro</w:t>
      </w:r>
      <w:proofErr w:type="spellEnd"/>
      <w:r>
        <w:t xml:space="preserve"> et </w:t>
      </w:r>
      <w:proofErr w:type="spellStart"/>
      <w:r>
        <w:t>LigneApproAutreStock</w:t>
      </w:r>
      <w:proofErr w:type="spellEnd"/>
      <w:r>
        <w:t xml:space="preserve">) ont changé </w:t>
      </w:r>
      <w:proofErr w:type="gramStart"/>
      <w:r>
        <w:t xml:space="preserve">de </w:t>
      </w:r>
      <w:proofErr w:type="spellStart"/>
      <w:r>
        <w:t>int</w:t>
      </w:r>
      <w:proofErr w:type="spellEnd"/>
      <w:proofErr w:type="gramEnd"/>
      <w:r>
        <w:t xml:space="preserve"> vers real. De même pour le champ </w:t>
      </w:r>
      <w:proofErr w:type="spellStart"/>
      <w:r>
        <w:t>prixservice</w:t>
      </w:r>
      <w:proofErr w:type="spellEnd"/>
      <w:r>
        <w:t xml:space="preserve"> (table Service).</w:t>
      </w:r>
    </w:p>
    <w:p w:rsidR="001C0ADA" w:rsidRDefault="003568D8" w:rsidP="001C0ADA">
      <w:pPr>
        <w:rPr>
          <w:b/>
          <w:sz w:val="24"/>
        </w:rPr>
      </w:pPr>
      <w:r>
        <w:rPr>
          <w:b/>
          <w:sz w:val="24"/>
        </w:rPr>
        <w:t>Ce lundi 25/07/2022</w:t>
      </w:r>
    </w:p>
    <w:p w:rsidR="00EA76F6" w:rsidRDefault="00E72703" w:rsidP="001C0ADA">
      <w:r>
        <w:t xml:space="preserve">Les valeurs </w:t>
      </w:r>
      <w:r w:rsidR="00EA76F6">
        <w:t xml:space="preserve">des signes vitaux seront portées vers la table </w:t>
      </w:r>
      <w:proofErr w:type="spellStart"/>
      <w:r w:rsidR="00EA76F6">
        <w:t>SigneVitalConsultation</w:t>
      </w:r>
      <w:proofErr w:type="spellEnd"/>
      <w:r w:rsidR="00EA76F6">
        <w:t xml:space="preserve"> à l’enregistrement de la consultation</w:t>
      </w:r>
      <w:r w:rsidR="006402BC">
        <w:t xml:space="preserve"> et supprimées de la table </w:t>
      </w:r>
      <w:proofErr w:type="spellStart"/>
      <w:r w:rsidR="006402BC">
        <w:t>LigneSigneVital</w:t>
      </w:r>
      <w:proofErr w:type="spellEnd"/>
      <w:r w:rsidR="005915D5">
        <w:t>.</w:t>
      </w:r>
    </w:p>
    <w:p w:rsidR="003568D8" w:rsidRDefault="00650950" w:rsidP="001C0ADA">
      <w:r w:rsidRPr="00650950">
        <w:t xml:space="preserve">Ecrire une </w:t>
      </w:r>
      <w:r>
        <w:t>procédure stockée et un déclencheur pour supprimer automatiquement tous les matins, les malades dans l’</w:t>
      </w:r>
      <w:r w:rsidR="00700EBB">
        <w:t>agenda provis</w:t>
      </w:r>
      <w:r>
        <w:t>oire.</w:t>
      </w:r>
    </w:p>
    <w:p w:rsidR="00563D57" w:rsidRDefault="00230E0A" w:rsidP="001C0ADA">
      <w:r>
        <w:t xml:space="preserve">Convertir les montants et prix dans les trois BDD en </w:t>
      </w:r>
      <w:proofErr w:type="spellStart"/>
      <w:r>
        <w:t>numeric</w:t>
      </w:r>
      <w:proofErr w:type="spellEnd"/>
      <w:r>
        <w:t>(18,2) comme c’est fait dans la table Compte</w:t>
      </w:r>
    </w:p>
    <w:p w:rsidR="007937C8" w:rsidRDefault="007937C8" w:rsidP="001C0ADA">
      <w:r>
        <w:t>Ce jeudi 28 juillet 2022</w:t>
      </w:r>
    </w:p>
    <w:p w:rsidR="007937C8" w:rsidRPr="00461019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</w:rPr>
      </w:pPr>
      <w:r w:rsidRPr="00461019"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lastRenderedPageBreak/>
        <w:t>CREATE</w:t>
      </w:r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</w:t>
      </w:r>
      <w:r w:rsidRPr="00461019"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>TABLE</w:t>
      </w:r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[</w:t>
      </w:r>
      <w:proofErr w:type="spellStart"/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dbo</w:t>
      </w:r>
      <w:proofErr w:type="spellEnd"/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]</w:t>
      </w:r>
      <w:proofErr w:type="gramStart"/>
      <w:r w:rsidRPr="00461019"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.</w:t>
      </w:r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[</w:t>
      </w:r>
      <w:proofErr w:type="spellStart"/>
      <w:proofErr w:type="gramEnd"/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AgendaCaisse</w:t>
      </w:r>
      <w:proofErr w:type="spellEnd"/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>]</w:t>
      </w:r>
      <w:r w:rsidRPr="00461019">
        <w:rPr>
          <w:rFonts w:ascii="DejaVu Sans Mono" w:hAnsi="DejaVu Sans Mono" w:cs="DejaVu Sans Mono"/>
          <w:color w:val="569CD6"/>
          <w:sz w:val="19"/>
          <w:szCs w:val="19"/>
          <w:highlight w:val="black"/>
        </w:rPr>
        <w:t xml:space="preserve"> </w:t>
      </w:r>
      <w:r w:rsidRPr="00461019">
        <w:rPr>
          <w:rFonts w:ascii="DejaVu Sans Mono" w:hAnsi="DejaVu Sans Mono" w:cs="DejaVu Sans Mono"/>
          <w:color w:val="818181"/>
          <w:sz w:val="19"/>
          <w:szCs w:val="19"/>
          <w:highlight w:val="black"/>
        </w:rPr>
        <w:t>(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461019">
        <w:rPr>
          <w:rFonts w:ascii="DejaVu Sans Mono" w:hAnsi="DejaVu Sans Mono" w:cs="DejaVu Sans Mono"/>
          <w:color w:val="DCDCDC"/>
          <w:sz w:val="19"/>
          <w:szCs w:val="19"/>
          <w:highlight w:val="black"/>
        </w:rPr>
        <w:t xml:space="preserve">    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[</w:t>
      </w:r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idligne</w:t>
      </w:r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INT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        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NOT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[</w:t>
      </w:r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numbon</w:t>
      </w:r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 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INT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        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NOT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montanttotal</w:t>
      </w:r>
      <w:proofErr w:type="spellEnd"/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 xml:space="preserve">NUMERIC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18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2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montantpaye</w:t>
      </w:r>
      <w:proofErr w:type="spellEnd"/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 xml:space="preserve">NUMERIC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18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,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2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date_jour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SMALLDATETIME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NOT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ab/>
        <w:t>[</w:t>
      </w:r>
      <w:proofErr w:type="spellStart"/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idoperation</w:t>
      </w:r>
      <w:proofErr w:type="spellEnd"/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  </w:t>
      </w:r>
      <w:proofErr w:type="spellStart"/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ab/>
        <w:t>[</w:t>
      </w:r>
      <w:proofErr w:type="gram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regulation</w:t>
      </w:r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varchar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B5CEA8"/>
          <w:sz w:val="19"/>
          <w:szCs w:val="19"/>
          <w:highlight w:val="black"/>
          <w:lang w:val="en-US"/>
        </w:rPr>
        <w:t>15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NULL,</w:t>
      </w:r>
    </w:p>
    <w:p w:rsidR="007937C8" w:rsidRPr="007937C8" w:rsidRDefault="007937C8" w:rsidP="007937C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PRIMARY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KEY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 xml:space="preserve">CLUSTERED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idligne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]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ASC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),</w:t>
      </w:r>
    </w:p>
    <w:p w:rsidR="007937C8" w:rsidRDefault="007937C8" w:rsidP="007937C8">
      <w:pPr>
        <w:rPr>
          <w:rFonts w:ascii="DejaVu Sans Mono" w:hAnsi="DejaVu Sans Mono" w:cs="DejaVu Sans Mono"/>
          <w:color w:val="818181"/>
          <w:sz w:val="19"/>
          <w:szCs w:val="19"/>
          <w:lang w:val="en-US"/>
        </w:rPr>
      </w:pP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  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FOREIGN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 xml:space="preserve">KEY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numbon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]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>REFERENCES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 xml:space="preserve"> [</w:t>
      </w:r>
      <w:proofErr w:type="spell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dbo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]</w:t>
      </w:r>
      <w:proofErr w:type="gramStart"/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.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BonRecette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]</w:t>
      </w:r>
      <w:r w:rsidRPr="007937C8">
        <w:rPr>
          <w:rFonts w:ascii="DejaVu Sans Mono" w:hAnsi="DejaVu Sans Mono" w:cs="DejaVu Sans Mono"/>
          <w:color w:val="569CD6"/>
          <w:sz w:val="19"/>
          <w:szCs w:val="19"/>
          <w:highlight w:val="black"/>
          <w:lang w:val="en-US"/>
        </w:rPr>
        <w:t xml:space="preserve"> 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(</w:t>
      </w:r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numbon</w:t>
      </w:r>
      <w:proofErr w:type="spellEnd"/>
      <w:r w:rsidRPr="007937C8">
        <w:rPr>
          <w:rFonts w:ascii="DejaVu Sans Mono" w:hAnsi="DejaVu Sans Mono" w:cs="DejaVu Sans Mono"/>
          <w:color w:val="DCDCDC"/>
          <w:sz w:val="19"/>
          <w:szCs w:val="19"/>
          <w:highlight w:val="black"/>
          <w:lang w:val="en-US"/>
        </w:rPr>
        <w:t>]</w:t>
      </w:r>
      <w:r w:rsidRPr="007937C8">
        <w:rPr>
          <w:rFonts w:ascii="DejaVu Sans Mono" w:hAnsi="DejaVu Sans Mono" w:cs="DejaVu Sans Mono"/>
          <w:color w:val="818181"/>
          <w:sz w:val="19"/>
          <w:szCs w:val="19"/>
          <w:highlight w:val="black"/>
          <w:lang w:val="en-US"/>
        </w:rPr>
        <w:t>)</w:t>
      </w:r>
    </w:p>
    <w:p w:rsidR="00133A91" w:rsidRPr="00B856FC" w:rsidRDefault="00133A91" w:rsidP="007937C8">
      <w:pPr>
        <w:rPr>
          <w:b/>
        </w:rPr>
      </w:pPr>
      <w:r w:rsidRPr="00B856FC">
        <w:rPr>
          <w:b/>
        </w:rPr>
        <w:t>Note du 01/09/2022</w:t>
      </w:r>
    </w:p>
    <w:p w:rsidR="00F270D0" w:rsidRPr="00C41A36" w:rsidRDefault="00F270D0" w:rsidP="007937C8">
      <w:pPr>
        <w:rPr>
          <w:color w:val="70AD47" w:themeColor="accent6"/>
        </w:rPr>
      </w:pPr>
      <w:r w:rsidRPr="00C41A36">
        <w:rPr>
          <w:color w:val="70AD47" w:themeColor="accent6"/>
        </w:rPr>
        <w:t>Urgent !!!</w:t>
      </w:r>
    </w:p>
    <w:p w:rsidR="00F270D0" w:rsidRPr="00C41A36" w:rsidRDefault="00F270D0" w:rsidP="007937C8">
      <w:r w:rsidRPr="00C41A36">
        <w:t>Ajouter les mouvements de stocks</w:t>
      </w:r>
    </w:p>
    <w:p w:rsidR="00133A91" w:rsidRDefault="00386356" w:rsidP="007937C8">
      <w:r>
        <w:t xml:space="preserve">Coder les recherches selon les dates du côté Gestion de stocks : Paulin, </w:t>
      </w:r>
      <w:proofErr w:type="spellStart"/>
      <w:r>
        <w:t>Stephane</w:t>
      </w:r>
      <w:proofErr w:type="spellEnd"/>
      <w:r>
        <w:t>, Sr Assy.</w:t>
      </w:r>
    </w:p>
    <w:p w:rsidR="006048FC" w:rsidRDefault="006048FC" w:rsidP="007937C8">
      <w:r>
        <w:t>Autre stock</w:t>
      </w:r>
    </w:p>
    <w:p w:rsidR="00BE6AFC" w:rsidRDefault="00BE6AFC" w:rsidP="007937C8">
      <w:r>
        <w:t>Eviter le doublon d’un compte utilisateur</w:t>
      </w:r>
      <w:r w:rsidR="00E72E97">
        <w:t>, d’un produit pharma ou autre produit.</w:t>
      </w:r>
    </w:p>
    <w:p w:rsidR="00653DD3" w:rsidRDefault="00653DD3" w:rsidP="00A84F41">
      <w:pPr>
        <w:shd w:val="clear" w:color="auto" w:fill="D0CECE" w:themeFill="background2" w:themeFillShade="E6"/>
      </w:pPr>
      <w:r>
        <w:t>Utiliser une expression ré</w:t>
      </w:r>
      <w:r w:rsidR="00677D2F">
        <w:t>gulière pour la vérification de mot de passe.</w:t>
      </w:r>
    </w:p>
    <w:p w:rsidR="006048FC" w:rsidRDefault="002729B3" w:rsidP="007937C8">
      <w:r>
        <w:t xml:space="preserve">Trouver comment gérer le caractère ‘ dans une recherche avec </w:t>
      </w:r>
      <w:proofErr w:type="spellStart"/>
      <w:r>
        <w:t>like</w:t>
      </w:r>
      <w:proofErr w:type="spellEnd"/>
      <w:r>
        <w:t xml:space="preserve"> coté </w:t>
      </w:r>
      <w:r w:rsidR="0078620F">
        <w:t xml:space="preserve">GUI et côté </w:t>
      </w:r>
      <w:r>
        <w:t>BDD</w:t>
      </w:r>
    </w:p>
    <w:p w:rsidR="00DE505B" w:rsidRPr="00DE505B" w:rsidRDefault="00DE505B" w:rsidP="007937C8">
      <w:pPr>
        <w:rPr>
          <w:b/>
        </w:rPr>
      </w:pPr>
      <w:r w:rsidRPr="00DE505B">
        <w:rPr>
          <w:b/>
        </w:rPr>
        <w:t>COMPTABILITE</w:t>
      </w:r>
      <w:r>
        <w:rPr>
          <w:b/>
        </w:rPr>
        <w:t xml:space="preserve">  le 17/09/2022</w:t>
      </w:r>
    </w:p>
    <w:p w:rsidR="00DE505B" w:rsidRDefault="00142865" w:rsidP="007937C8">
      <w:r>
        <w:t>Pour chaque compte d’une classe &lt;= 5, savoir s’il va à l’actif ou au passif du bilan et pouvoir identifier à quelle référence il se rattache dans le bilan.</w:t>
      </w:r>
      <w:r w:rsidR="003D1034">
        <w:t xml:space="preserve"> Même chose pour les comptes des classes 6 et 7 pour la formation de tableau de résultat.</w:t>
      </w:r>
    </w:p>
    <w:p w:rsidR="005C5935" w:rsidRDefault="005C5935" w:rsidP="007937C8">
      <w:r>
        <w:t>Peut-on sommer les achats de matières consommables (604) et autres achats (605) sous la même rubrique Autres achats</w:t>
      </w:r>
      <w:r w:rsidR="001118C1">
        <w:t xml:space="preserve"> (</w:t>
      </w:r>
      <w:r w:rsidR="003A14F2">
        <w:t xml:space="preserve">réf. </w:t>
      </w:r>
      <w:r w:rsidR="001118C1">
        <w:t>RE)</w:t>
      </w:r>
      <w:r>
        <w:t xml:space="preserve"> du tableau de résultat ?</w:t>
      </w:r>
    </w:p>
    <w:p w:rsidR="00E40835" w:rsidRDefault="00E40835" w:rsidP="007937C8">
      <w:r>
        <w:t xml:space="preserve">Peut-on sommer les </w:t>
      </w:r>
      <w:r w:rsidR="00F661A5">
        <w:t>services extérieur</w:t>
      </w:r>
      <w:r>
        <w:t>s (60</w:t>
      </w:r>
      <w:r w:rsidR="00F661A5">
        <w:t>2</w:t>
      </w:r>
      <w:r>
        <w:t xml:space="preserve">) et autres </w:t>
      </w:r>
      <w:r w:rsidR="00F661A5">
        <w:t>serviteurs extérieurs (603</w:t>
      </w:r>
      <w:r>
        <w:t xml:space="preserve">) sous la même rubrique </w:t>
      </w:r>
      <w:r w:rsidR="00C22358">
        <w:t>Service extérieurs</w:t>
      </w:r>
      <w:r>
        <w:t xml:space="preserve"> (réf. R</w:t>
      </w:r>
      <w:r w:rsidR="00C22358">
        <w:t>H</w:t>
      </w:r>
      <w:r>
        <w:t>) du tableau de résultat ?</w:t>
      </w:r>
    </w:p>
    <w:p w:rsidR="002C0E79" w:rsidRDefault="002C0E79" w:rsidP="007937C8">
      <w:r>
        <w:t>Quand est-ce qu’une opération peut concerner le compte (</w:t>
      </w:r>
      <w:r w:rsidRPr="002C0E79">
        <w:t>658802</w:t>
      </w:r>
      <w:r>
        <w:t xml:space="preserve">) </w:t>
      </w:r>
      <w:r w:rsidRPr="00FE2053">
        <w:rPr>
          <w:i/>
        </w:rPr>
        <w:t>Frais médicaux &amp; pharmaceutiques Abonnés</w:t>
      </w:r>
      <w:r w:rsidR="007F72A0">
        <w:t> ?</w:t>
      </w:r>
      <w:r w:rsidR="007D1E3D">
        <w:t xml:space="preserve"> </w:t>
      </w:r>
      <w:r w:rsidR="002E422A">
        <w:t>Où</w:t>
      </w:r>
      <w:r w:rsidR="007D1E3D">
        <w:t xml:space="preserve"> peut-on intégrer son montant dans le tableau de résultat</w:t>
      </w:r>
    </w:p>
    <w:p w:rsidR="00461019" w:rsidRPr="00461019" w:rsidRDefault="00461019" w:rsidP="007937C8">
      <w:pPr>
        <w:rPr>
          <w:b/>
        </w:rPr>
      </w:pPr>
      <w:r w:rsidRPr="00461019">
        <w:rPr>
          <w:b/>
        </w:rPr>
        <w:t>Cibles 15/10/2022</w:t>
      </w:r>
    </w:p>
    <w:p w:rsidR="00461019" w:rsidRDefault="007240AA" w:rsidP="007240AA">
      <w:pPr>
        <w:pStyle w:val="Paragraphedeliste"/>
        <w:numPr>
          <w:ilvl w:val="0"/>
          <w:numId w:val="9"/>
        </w:numPr>
      </w:pPr>
      <w:r>
        <w:t xml:space="preserve">Pour refuser l’approvisionnement il faut que la </w:t>
      </w:r>
      <w:proofErr w:type="spellStart"/>
      <w:r>
        <w:t>qtedem</w:t>
      </w:r>
      <w:proofErr w:type="spellEnd"/>
      <w:r>
        <w:t xml:space="preserve"> &gt; </w:t>
      </w:r>
      <w:proofErr w:type="spellStart"/>
      <w:r>
        <w:t>qteAppro</w:t>
      </w:r>
      <w:proofErr w:type="spellEnd"/>
    </w:p>
    <w:p w:rsidR="00BB4CF4" w:rsidRDefault="00BB4CF4" w:rsidP="00BB4CF4">
      <w:pPr>
        <w:pStyle w:val="Paragraphedeliste"/>
        <w:numPr>
          <w:ilvl w:val="0"/>
          <w:numId w:val="9"/>
        </w:numPr>
      </w:pPr>
      <w:r>
        <w:t>Faire la recherche par date sur le formulaire Agenda, et que tout cas consulté doit être supprimé de l’agenda.</w:t>
      </w:r>
    </w:p>
    <w:p w:rsidR="00BB4CF4" w:rsidRDefault="00D26BE4" w:rsidP="00BB4CF4">
      <w:pPr>
        <w:pStyle w:val="Paragraphedeliste"/>
        <w:numPr>
          <w:ilvl w:val="0"/>
          <w:numId w:val="9"/>
        </w:numPr>
      </w:pPr>
      <w:r>
        <w:t>Vérifier que le rapport  journalier</w:t>
      </w:r>
      <w:r w:rsidR="00FF2E48">
        <w:t xml:space="preserve"> de recettes</w:t>
      </w:r>
      <w:r>
        <w:t xml:space="preserve"> se fait </w:t>
      </w:r>
      <w:r w:rsidR="00FF2E48">
        <w:t>par Catégorie et service.</w:t>
      </w:r>
    </w:p>
    <w:p w:rsidR="00E400D6" w:rsidRDefault="0048557F" w:rsidP="00BB4CF4">
      <w:pPr>
        <w:pStyle w:val="Paragraphedeliste"/>
        <w:numPr>
          <w:ilvl w:val="0"/>
          <w:numId w:val="9"/>
        </w:numPr>
      </w:pPr>
      <w:r>
        <w:t>Afficher les opérations comptables par compte et pour tout (somme cumulée des montants par compte)</w:t>
      </w:r>
    </w:p>
    <w:p w:rsidR="00D218E2" w:rsidRPr="00ED3E7A" w:rsidRDefault="004D31E8" w:rsidP="00BB4CF4">
      <w:pPr>
        <w:pStyle w:val="Paragraphedeliste"/>
        <w:numPr>
          <w:ilvl w:val="0"/>
          <w:numId w:val="9"/>
        </w:numPr>
        <w:rPr>
          <w:i/>
        </w:rPr>
      </w:pPr>
      <w:r w:rsidRPr="00ED3E7A">
        <w:rPr>
          <w:i/>
        </w:rPr>
        <w:t>Faire que le payement des abonnés se fasse par la caisse dépenses</w:t>
      </w:r>
    </w:p>
    <w:p w:rsidR="009306D2" w:rsidRPr="00ED3E7A" w:rsidRDefault="00193F6A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Ajouter le prix de consultation dans </w:t>
      </w:r>
      <w:proofErr w:type="spellStart"/>
      <w:r w:rsidRPr="00ED3E7A">
        <w:rPr>
          <w:b/>
        </w:rPr>
        <w:t>AbonneService</w:t>
      </w:r>
      <w:proofErr w:type="spellEnd"/>
      <w:r w:rsidRPr="00ED3E7A">
        <w:rPr>
          <w:b/>
        </w:rPr>
        <w:t xml:space="preserve"> lors de l’e</w:t>
      </w:r>
      <w:r w:rsidR="00EB793C" w:rsidRPr="00ED3E7A">
        <w:rPr>
          <w:b/>
        </w:rPr>
        <w:t>nregistrement de chaque nouvel</w:t>
      </w:r>
      <w:r w:rsidRPr="00ED3E7A">
        <w:rPr>
          <w:b/>
        </w:rPr>
        <w:t xml:space="preserve"> abonné</w:t>
      </w:r>
      <w:r w:rsidR="00750D72" w:rsidRPr="00ED3E7A">
        <w:rPr>
          <w:b/>
        </w:rPr>
        <w:t>.</w:t>
      </w:r>
    </w:p>
    <w:p w:rsidR="00BF2927" w:rsidRPr="00ED3E7A" w:rsidRDefault="00BF2927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 xml:space="preserve">Faire </w:t>
      </w:r>
      <w:r w:rsidR="009555F3" w:rsidRPr="00ED3E7A">
        <w:rPr>
          <w:b/>
        </w:rPr>
        <w:t xml:space="preserve">que </w:t>
      </w:r>
      <w:r w:rsidRPr="00ED3E7A">
        <w:rPr>
          <w:b/>
        </w:rPr>
        <w:t>le dossier malade soit visible des infirmiers.</w:t>
      </w:r>
    </w:p>
    <w:p w:rsidR="00EA7D64" w:rsidRPr="00ED3E7A" w:rsidRDefault="000A5B65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t>Faire que les éléments du dossier malade soient sur un même formulaire pour simplifier la tâche aux médecins.</w:t>
      </w:r>
    </w:p>
    <w:p w:rsidR="00B77A3C" w:rsidRPr="00ED3E7A" w:rsidRDefault="00B77A3C" w:rsidP="00BB4CF4">
      <w:pPr>
        <w:pStyle w:val="Paragraphedeliste"/>
        <w:numPr>
          <w:ilvl w:val="0"/>
          <w:numId w:val="9"/>
        </w:numPr>
        <w:rPr>
          <w:b/>
        </w:rPr>
      </w:pPr>
      <w:r w:rsidRPr="00ED3E7A">
        <w:rPr>
          <w:b/>
        </w:rPr>
        <w:lastRenderedPageBreak/>
        <w:t>Faire un</w:t>
      </w:r>
      <w:r w:rsidR="00666B89" w:rsidRPr="00ED3E7A">
        <w:rPr>
          <w:b/>
        </w:rPr>
        <w:t>e</w:t>
      </w:r>
      <w:r w:rsidRPr="00ED3E7A">
        <w:rPr>
          <w:b/>
        </w:rPr>
        <w:t xml:space="preserve"> liste à cocher pour les examens de labo pour les médecins</w:t>
      </w:r>
      <w:r w:rsidR="00666B89" w:rsidRPr="00ED3E7A">
        <w:rPr>
          <w:b/>
        </w:rPr>
        <w:t xml:space="preserve"> (</w:t>
      </w:r>
      <w:proofErr w:type="spellStart"/>
      <w:r w:rsidR="00666B89" w:rsidRPr="00ED3E7A">
        <w:rPr>
          <w:b/>
        </w:rPr>
        <w:t>cfr</w:t>
      </w:r>
      <w:proofErr w:type="spellEnd"/>
      <w:r w:rsidR="00666B89" w:rsidRPr="00ED3E7A">
        <w:rPr>
          <w:b/>
        </w:rPr>
        <w:t xml:space="preserve"> liste à cocher pour la facturation </w:t>
      </w:r>
      <w:r w:rsidR="004C7311" w:rsidRPr="00ED3E7A">
        <w:rPr>
          <w:b/>
        </w:rPr>
        <w:t xml:space="preserve">de </w:t>
      </w:r>
      <w:r w:rsidR="00666B89" w:rsidRPr="00ED3E7A">
        <w:rPr>
          <w:b/>
        </w:rPr>
        <w:t>services)</w:t>
      </w:r>
      <w:r w:rsidRPr="00ED3E7A">
        <w:rPr>
          <w:b/>
        </w:rPr>
        <w:t>.</w:t>
      </w:r>
    </w:p>
    <w:p w:rsidR="00227D7C" w:rsidRDefault="00BF7961" w:rsidP="00BB4CF4">
      <w:pPr>
        <w:pStyle w:val="Paragraphedeliste"/>
        <w:numPr>
          <w:ilvl w:val="0"/>
          <w:numId w:val="9"/>
        </w:numPr>
      </w:pPr>
      <w:r>
        <w:t>Penser au</w:t>
      </w:r>
      <w:r w:rsidR="00D0691A">
        <w:t>x</w:t>
      </w:r>
      <w:bookmarkStart w:id="0" w:name="_GoBack"/>
      <w:bookmarkEnd w:id="0"/>
      <w:r>
        <w:t xml:space="preserve"> module</w:t>
      </w:r>
      <w:r w:rsidR="00CE0368">
        <w:t>s</w:t>
      </w:r>
      <w:r>
        <w:t xml:space="preserve"> Labo, Archivage après tout.</w:t>
      </w:r>
    </w:p>
    <w:p w:rsidR="007D1E3D" w:rsidRDefault="007D1E3D" w:rsidP="007937C8"/>
    <w:p w:rsidR="007D1E3D" w:rsidRPr="00FE2053" w:rsidRDefault="007D1E3D" w:rsidP="007937C8"/>
    <w:p w:rsidR="001118C1" w:rsidRPr="00E12FC0" w:rsidRDefault="001118C1" w:rsidP="007937C8"/>
    <w:sectPr w:rsidR="001118C1" w:rsidRPr="00E1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E3B"/>
    <w:multiLevelType w:val="hybridMultilevel"/>
    <w:tmpl w:val="F0C8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0C33"/>
    <w:multiLevelType w:val="hybridMultilevel"/>
    <w:tmpl w:val="E3445274"/>
    <w:lvl w:ilvl="0" w:tplc="2B0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1C5"/>
    <w:multiLevelType w:val="hybridMultilevel"/>
    <w:tmpl w:val="044E74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432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80CEC"/>
    <w:multiLevelType w:val="hybridMultilevel"/>
    <w:tmpl w:val="D1DC71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E33C4"/>
    <w:multiLevelType w:val="hybridMultilevel"/>
    <w:tmpl w:val="7FBAA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3A07"/>
    <w:multiLevelType w:val="hybridMultilevel"/>
    <w:tmpl w:val="38A09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6BF"/>
    <w:multiLevelType w:val="hybridMultilevel"/>
    <w:tmpl w:val="05445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348F"/>
    <w:multiLevelType w:val="hybridMultilevel"/>
    <w:tmpl w:val="8DA80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F3"/>
    <w:rsid w:val="0001436A"/>
    <w:rsid w:val="00020A2A"/>
    <w:rsid w:val="00025646"/>
    <w:rsid w:val="00035A51"/>
    <w:rsid w:val="000368A0"/>
    <w:rsid w:val="00046BD2"/>
    <w:rsid w:val="00047580"/>
    <w:rsid w:val="00047EA8"/>
    <w:rsid w:val="000528D0"/>
    <w:rsid w:val="000724A7"/>
    <w:rsid w:val="00073AAF"/>
    <w:rsid w:val="000778E3"/>
    <w:rsid w:val="00085F1C"/>
    <w:rsid w:val="000A5B65"/>
    <w:rsid w:val="000B58E6"/>
    <w:rsid w:val="000B5EC1"/>
    <w:rsid w:val="000C4E72"/>
    <w:rsid w:val="000D04C5"/>
    <w:rsid w:val="000D0978"/>
    <w:rsid w:val="000D6CCC"/>
    <w:rsid w:val="000E4D7C"/>
    <w:rsid w:val="000E6DB4"/>
    <w:rsid w:val="000F0B19"/>
    <w:rsid w:val="000F7A9B"/>
    <w:rsid w:val="001118C1"/>
    <w:rsid w:val="00112146"/>
    <w:rsid w:val="00112BC9"/>
    <w:rsid w:val="001255C0"/>
    <w:rsid w:val="00131A33"/>
    <w:rsid w:val="00133A91"/>
    <w:rsid w:val="00142865"/>
    <w:rsid w:val="00156A4A"/>
    <w:rsid w:val="00156B5A"/>
    <w:rsid w:val="00157559"/>
    <w:rsid w:val="0016324B"/>
    <w:rsid w:val="00164B3D"/>
    <w:rsid w:val="00172093"/>
    <w:rsid w:val="00181C73"/>
    <w:rsid w:val="00187C05"/>
    <w:rsid w:val="00192AE7"/>
    <w:rsid w:val="00193F6A"/>
    <w:rsid w:val="00197488"/>
    <w:rsid w:val="001A3876"/>
    <w:rsid w:val="001B0DF8"/>
    <w:rsid w:val="001B0FEA"/>
    <w:rsid w:val="001B18F5"/>
    <w:rsid w:val="001B2746"/>
    <w:rsid w:val="001B4B60"/>
    <w:rsid w:val="001C0ADA"/>
    <w:rsid w:val="001D481B"/>
    <w:rsid w:val="001E2D64"/>
    <w:rsid w:val="001F2736"/>
    <w:rsid w:val="001F67BB"/>
    <w:rsid w:val="0020536C"/>
    <w:rsid w:val="002138E1"/>
    <w:rsid w:val="00217A4E"/>
    <w:rsid w:val="002240FF"/>
    <w:rsid w:val="0022796F"/>
    <w:rsid w:val="00227D7C"/>
    <w:rsid w:val="00230E0A"/>
    <w:rsid w:val="0023392F"/>
    <w:rsid w:val="00244628"/>
    <w:rsid w:val="00247129"/>
    <w:rsid w:val="00265FFB"/>
    <w:rsid w:val="002714EA"/>
    <w:rsid w:val="002727DA"/>
    <w:rsid w:val="002729B3"/>
    <w:rsid w:val="0027675D"/>
    <w:rsid w:val="0027746F"/>
    <w:rsid w:val="002829E0"/>
    <w:rsid w:val="00286469"/>
    <w:rsid w:val="00292855"/>
    <w:rsid w:val="002B09CD"/>
    <w:rsid w:val="002C0460"/>
    <w:rsid w:val="002C0E79"/>
    <w:rsid w:val="002C1534"/>
    <w:rsid w:val="002C16E3"/>
    <w:rsid w:val="002C76B9"/>
    <w:rsid w:val="002D3258"/>
    <w:rsid w:val="002D6F94"/>
    <w:rsid w:val="002E422A"/>
    <w:rsid w:val="002E7C39"/>
    <w:rsid w:val="002F2575"/>
    <w:rsid w:val="002F2D02"/>
    <w:rsid w:val="002F414D"/>
    <w:rsid w:val="002F7EAD"/>
    <w:rsid w:val="0030012F"/>
    <w:rsid w:val="00302BD2"/>
    <w:rsid w:val="003050C3"/>
    <w:rsid w:val="00310733"/>
    <w:rsid w:val="003118E8"/>
    <w:rsid w:val="00314EF7"/>
    <w:rsid w:val="00322EB3"/>
    <w:rsid w:val="003243A4"/>
    <w:rsid w:val="00324595"/>
    <w:rsid w:val="00324B08"/>
    <w:rsid w:val="00327376"/>
    <w:rsid w:val="003310A0"/>
    <w:rsid w:val="003414E7"/>
    <w:rsid w:val="00350580"/>
    <w:rsid w:val="003568D8"/>
    <w:rsid w:val="003633C2"/>
    <w:rsid w:val="00386141"/>
    <w:rsid w:val="00386356"/>
    <w:rsid w:val="00386CE5"/>
    <w:rsid w:val="0038789C"/>
    <w:rsid w:val="003915A8"/>
    <w:rsid w:val="003915B3"/>
    <w:rsid w:val="00393CF9"/>
    <w:rsid w:val="003A0881"/>
    <w:rsid w:val="003A0AF5"/>
    <w:rsid w:val="003A14F2"/>
    <w:rsid w:val="003A4251"/>
    <w:rsid w:val="003C0B89"/>
    <w:rsid w:val="003C12C5"/>
    <w:rsid w:val="003C4E3D"/>
    <w:rsid w:val="003C6218"/>
    <w:rsid w:val="003D1034"/>
    <w:rsid w:val="003D352A"/>
    <w:rsid w:val="003E4D4E"/>
    <w:rsid w:val="003E5D4B"/>
    <w:rsid w:val="003F4F7D"/>
    <w:rsid w:val="00401F00"/>
    <w:rsid w:val="00406286"/>
    <w:rsid w:val="00411BFC"/>
    <w:rsid w:val="00413469"/>
    <w:rsid w:val="00414409"/>
    <w:rsid w:val="004216F6"/>
    <w:rsid w:val="0042539B"/>
    <w:rsid w:val="00432C36"/>
    <w:rsid w:val="00454205"/>
    <w:rsid w:val="004543F5"/>
    <w:rsid w:val="00457DDD"/>
    <w:rsid w:val="00461019"/>
    <w:rsid w:val="00466EE6"/>
    <w:rsid w:val="0047351F"/>
    <w:rsid w:val="00480DC2"/>
    <w:rsid w:val="00482EEC"/>
    <w:rsid w:val="0048557F"/>
    <w:rsid w:val="0048645E"/>
    <w:rsid w:val="00490896"/>
    <w:rsid w:val="0049355B"/>
    <w:rsid w:val="0049644D"/>
    <w:rsid w:val="004A0A22"/>
    <w:rsid w:val="004A141C"/>
    <w:rsid w:val="004A1EC4"/>
    <w:rsid w:val="004B58DE"/>
    <w:rsid w:val="004B7F84"/>
    <w:rsid w:val="004C69A6"/>
    <w:rsid w:val="004C7311"/>
    <w:rsid w:val="004D17E4"/>
    <w:rsid w:val="004D31E8"/>
    <w:rsid w:val="004D5F4E"/>
    <w:rsid w:val="004E4827"/>
    <w:rsid w:val="004E7F43"/>
    <w:rsid w:val="004F19F2"/>
    <w:rsid w:val="005102E5"/>
    <w:rsid w:val="0052139B"/>
    <w:rsid w:val="005241E6"/>
    <w:rsid w:val="0052438A"/>
    <w:rsid w:val="005322AD"/>
    <w:rsid w:val="00535DAB"/>
    <w:rsid w:val="00537F7D"/>
    <w:rsid w:val="00540979"/>
    <w:rsid w:val="00544F40"/>
    <w:rsid w:val="00546589"/>
    <w:rsid w:val="00551845"/>
    <w:rsid w:val="00551B3C"/>
    <w:rsid w:val="0056360B"/>
    <w:rsid w:val="00563D57"/>
    <w:rsid w:val="00571C4B"/>
    <w:rsid w:val="00572E6A"/>
    <w:rsid w:val="005915D5"/>
    <w:rsid w:val="005B24A5"/>
    <w:rsid w:val="005B734F"/>
    <w:rsid w:val="005C3DE9"/>
    <w:rsid w:val="005C5935"/>
    <w:rsid w:val="005C7F77"/>
    <w:rsid w:val="005D13AE"/>
    <w:rsid w:val="005D3342"/>
    <w:rsid w:val="005D7513"/>
    <w:rsid w:val="005E49B6"/>
    <w:rsid w:val="005E4BDE"/>
    <w:rsid w:val="005F220D"/>
    <w:rsid w:val="0060228A"/>
    <w:rsid w:val="006048FC"/>
    <w:rsid w:val="006067AC"/>
    <w:rsid w:val="00607755"/>
    <w:rsid w:val="00607FB0"/>
    <w:rsid w:val="006108A3"/>
    <w:rsid w:val="00615F4E"/>
    <w:rsid w:val="00624972"/>
    <w:rsid w:val="00625013"/>
    <w:rsid w:val="006402BC"/>
    <w:rsid w:val="0064147A"/>
    <w:rsid w:val="00642C77"/>
    <w:rsid w:val="00650863"/>
    <w:rsid w:val="00650950"/>
    <w:rsid w:val="00651073"/>
    <w:rsid w:val="00652501"/>
    <w:rsid w:val="00653DD3"/>
    <w:rsid w:val="00655225"/>
    <w:rsid w:val="00657287"/>
    <w:rsid w:val="006616B7"/>
    <w:rsid w:val="00664EEF"/>
    <w:rsid w:val="00665D2A"/>
    <w:rsid w:val="00666B89"/>
    <w:rsid w:val="00674149"/>
    <w:rsid w:val="0067460D"/>
    <w:rsid w:val="00677D2F"/>
    <w:rsid w:val="0068625E"/>
    <w:rsid w:val="006B2DD4"/>
    <w:rsid w:val="006B7062"/>
    <w:rsid w:val="006B7FD4"/>
    <w:rsid w:val="006C1DEB"/>
    <w:rsid w:val="006D3101"/>
    <w:rsid w:val="006D326E"/>
    <w:rsid w:val="006E6AA5"/>
    <w:rsid w:val="006F3702"/>
    <w:rsid w:val="00700EBB"/>
    <w:rsid w:val="00721C2B"/>
    <w:rsid w:val="007240AA"/>
    <w:rsid w:val="00745794"/>
    <w:rsid w:val="007463CB"/>
    <w:rsid w:val="00750D72"/>
    <w:rsid w:val="0075312C"/>
    <w:rsid w:val="00756063"/>
    <w:rsid w:val="00756C1A"/>
    <w:rsid w:val="007633FB"/>
    <w:rsid w:val="007669EB"/>
    <w:rsid w:val="00770AC6"/>
    <w:rsid w:val="00771C62"/>
    <w:rsid w:val="007749F5"/>
    <w:rsid w:val="0078413E"/>
    <w:rsid w:val="0078620F"/>
    <w:rsid w:val="007937C8"/>
    <w:rsid w:val="007B17ED"/>
    <w:rsid w:val="007C187E"/>
    <w:rsid w:val="007D1E3D"/>
    <w:rsid w:val="007E0F9D"/>
    <w:rsid w:val="007E391A"/>
    <w:rsid w:val="007E3AEE"/>
    <w:rsid w:val="007F0583"/>
    <w:rsid w:val="007F6EAD"/>
    <w:rsid w:val="007F72A0"/>
    <w:rsid w:val="007F7D78"/>
    <w:rsid w:val="00803D4A"/>
    <w:rsid w:val="00831266"/>
    <w:rsid w:val="008363ED"/>
    <w:rsid w:val="00855013"/>
    <w:rsid w:val="00862482"/>
    <w:rsid w:val="00880924"/>
    <w:rsid w:val="008A3F11"/>
    <w:rsid w:val="008B1C17"/>
    <w:rsid w:val="008B4320"/>
    <w:rsid w:val="008C0590"/>
    <w:rsid w:val="008D52A9"/>
    <w:rsid w:val="008D5942"/>
    <w:rsid w:val="008D7A3E"/>
    <w:rsid w:val="008E3E7E"/>
    <w:rsid w:val="008F3CBB"/>
    <w:rsid w:val="008F506F"/>
    <w:rsid w:val="008F5C2A"/>
    <w:rsid w:val="00901E28"/>
    <w:rsid w:val="00901FEE"/>
    <w:rsid w:val="00907B29"/>
    <w:rsid w:val="009306D2"/>
    <w:rsid w:val="0093383F"/>
    <w:rsid w:val="00936FCA"/>
    <w:rsid w:val="00942DA8"/>
    <w:rsid w:val="00944625"/>
    <w:rsid w:val="00944B8C"/>
    <w:rsid w:val="00950B99"/>
    <w:rsid w:val="00954A0D"/>
    <w:rsid w:val="009555F3"/>
    <w:rsid w:val="00960ABC"/>
    <w:rsid w:val="00963A86"/>
    <w:rsid w:val="0098532A"/>
    <w:rsid w:val="009904F8"/>
    <w:rsid w:val="00992DEC"/>
    <w:rsid w:val="0099780D"/>
    <w:rsid w:val="009A4A7D"/>
    <w:rsid w:val="009C04F6"/>
    <w:rsid w:val="009C3589"/>
    <w:rsid w:val="009D583B"/>
    <w:rsid w:val="009E4488"/>
    <w:rsid w:val="009E6F50"/>
    <w:rsid w:val="009E7642"/>
    <w:rsid w:val="009F2719"/>
    <w:rsid w:val="009F2B33"/>
    <w:rsid w:val="009F3C6B"/>
    <w:rsid w:val="009F49B8"/>
    <w:rsid w:val="00A055D7"/>
    <w:rsid w:val="00A210F3"/>
    <w:rsid w:val="00A23936"/>
    <w:rsid w:val="00A57347"/>
    <w:rsid w:val="00A573C5"/>
    <w:rsid w:val="00A71B9D"/>
    <w:rsid w:val="00A83B1A"/>
    <w:rsid w:val="00A84665"/>
    <w:rsid w:val="00A84F41"/>
    <w:rsid w:val="00A907B2"/>
    <w:rsid w:val="00A92912"/>
    <w:rsid w:val="00A95DB1"/>
    <w:rsid w:val="00AA663D"/>
    <w:rsid w:val="00AB51BB"/>
    <w:rsid w:val="00AC7BFB"/>
    <w:rsid w:val="00AF6819"/>
    <w:rsid w:val="00AF776C"/>
    <w:rsid w:val="00B150B5"/>
    <w:rsid w:val="00B33833"/>
    <w:rsid w:val="00B431C5"/>
    <w:rsid w:val="00B438A6"/>
    <w:rsid w:val="00B55ADD"/>
    <w:rsid w:val="00B71C47"/>
    <w:rsid w:val="00B75C4B"/>
    <w:rsid w:val="00B77A3C"/>
    <w:rsid w:val="00B83984"/>
    <w:rsid w:val="00B856FC"/>
    <w:rsid w:val="00B85D39"/>
    <w:rsid w:val="00B9402C"/>
    <w:rsid w:val="00B945C1"/>
    <w:rsid w:val="00B95839"/>
    <w:rsid w:val="00B96B6D"/>
    <w:rsid w:val="00B96CAB"/>
    <w:rsid w:val="00BB4325"/>
    <w:rsid w:val="00BB45A6"/>
    <w:rsid w:val="00BB4CF4"/>
    <w:rsid w:val="00BB4E20"/>
    <w:rsid w:val="00BB7810"/>
    <w:rsid w:val="00BC0801"/>
    <w:rsid w:val="00BC266B"/>
    <w:rsid w:val="00BC772A"/>
    <w:rsid w:val="00BD3524"/>
    <w:rsid w:val="00BE2628"/>
    <w:rsid w:val="00BE5816"/>
    <w:rsid w:val="00BE6AFC"/>
    <w:rsid w:val="00BE7257"/>
    <w:rsid w:val="00BE7EF2"/>
    <w:rsid w:val="00BF2927"/>
    <w:rsid w:val="00BF7961"/>
    <w:rsid w:val="00C21B9D"/>
    <w:rsid w:val="00C22358"/>
    <w:rsid w:val="00C25580"/>
    <w:rsid w:val="00C27392"/>
    <w:rsid w:val="00C41A36"/>
    <w:rsid w:val="00C41D78"/>
    <w:rsid w:val="00C5432E"/>
    <w:rsid w:val="00C7053B"/>
    <w:rsid w:val="00C70D98"/>
    <w:rsid w:val="00C835F2"/>
    <w:rsid w:val="00C87D4B"/>
    <w:rsid w:val="00C934CD"/>
    <w:rsid w:val="00CA06A7"/>
    <w:rsid w:val="00CB6F2D"/>
    <w:rsid w:val="00CC26A6"/>
    <w:rsid w:val="00CC4771"/>
    <w:rsid w:val="00CC49A4"/>
    <w:rsid w:val="00CE0368"/>
    <w:rsid w:val="00CE71F2"/>
    <w:rsid w:val="00CE7C95"/>
    <w:rsid w:val="00CE7F2B"/>
    <w:rsid w:val="00D02E4A"/>
    <w:rsid w:val="00D0691A"/>
    <w:rsid w:val="00D06B8B"/>
    <w:rsid w:val="00D1237C"/>
    <w:rsid w:val="00D218E2"/>
    <w:rsid w:val="00D22EF4"/>
    <w:rsid w:val="00D26BE4"/>
    <w:rsid w:val="00D31CDC"/>
    <w:rsid w:val="00D368C6"/>
    <w:rsid w:val="00D46043"/>
    <w:rsid w:val="00D50D21"/>
    <w:rsid w:val="00D66BC9"/>
    <w:rsid w:val="00D84151"/>
    <w:rsid w:val="00D85CB4"/>
    <w:rsid w:val="00D91929"/>
    <w:rsid w:val="00D9504F"/>
    <w:rsid w:val="00DB57DB"/>
    <w:rsid w:val="00DC04F4"/>
    <w:rsid w:val="00DE2446"/>
    <w:rsid w:val="00DE505B"/>
    <w:rsid w:val="00DE5911"/>
    <w:rsid w:val="00E07953"/>
    <w:rsid w:val="00E12FC0"/>
    <w:rsid w:val="00E23A4F"/>
    <w:rsid w:val="00E37879"/>
    <w:rsid w:val="00E400D6"/>
    <w:rsid w:val="00E40835"/>
    <w:rsid w:val="00E45AF3"/>
    <w:rsid w:val="00E57A2A"/>
    <w:rsid w:val="00E653A2"/>
    <w:rsid w:val="00E72703"/>
    <w:rsid w:val="00E72E97"/>
    <w:rsid w:val="00E9134D"/>
    <w:rsid w:val="00EA76F6"/>
    <w:rsid w:val="00EA7D64"/>
    <w:rsid w:val="00EB2F84"/>
    <w:rsid w:val="00EB793C"/>
    <w:rsid w:val="00EC6444"/>
    <w:rsid w:val="00ED070A"/>
    <w:rsid w:val="00ED3E7A"/>
    <w:rsid w:val="00EE7680"/>
    <w:rsid w:val="00EF562B"/>
    <w:rsid w:val="00F12165"/>
    <w:rsid w:val="00F20F8F"/>
    <w:rsid w:val="00F21782"/>
    <w:rsid w:val="00F270D0"/>
    <w:rsid w:val="00F27BEB"/>
    <w:rsid w:val="00F34DB9"/>
    <w:rsid w:val="00F35D85"/>
    <w:rsid w:val="00F40DB9"/>
    <w:rsid w:val="00F52B84"/>
    <w:rsid w:val="00F530D6"/>
    <w:rsid w:val="00F64701"/>
    <w:rsid w:val="00F661A5"/>
    <w:rsid w:val="00F720E9"/>
    <w:rsid w:val="00F85F79"/>
    <w:rsid w:val="00FA06B5"/>
    <w:rsid w:val="00FA2570"/>
    <w:rsid w:val="00FA7BA4"/>
    <w:rsid w:val="00FB6650"/>
    <w:rsid w:val="00FB6F38"/>
    <w:rsid w:val="00FB7686"/>
    <w:rsid w:val="00FB7819"/>
    <w:rsid w:val="00FD5DD7"/>
    <w:rsid w:val="00FE2053"/>
    <w:rsid w:val="00FE26CB"/>
    <w:rsid w:val="00FE373E"/>
    <w:rsid w:val="00FE701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5128-CF4E-4D00-A614-C0FF79B7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1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6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8</Pages>
  <Words>2373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AUDIO-VISUEL</dc:creator>
  <cp:keywords/>
  <dc:description/>
  <cp:lastModifiedBy>AUDIO-VISUEL</cp:lastModifiedBy>
  <cp:revision>627</cp:revision>
  <dcterms:created xsi:type="dcterms:W3CDTF">2022-02-01T14:25:00Z</dcterms:created>
  <dcterms:modified xsi:type="dcterms:W3CDTF">2022-10-15T05:47:00Z</dcterms:modified>
</cp:coreProperties>
</file>