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 Confeitaria - </w:t>
      </w:r>
      <w:r w:rsidDel="00000000" w:rsidR="00000000" w:rsidRPr="00000000">
        <w:rPr>
          <w:rtl w:val="0"/>
        </w:rPr>
        <w:t xml:space="preserve">Usuários e Outros Stakeholders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Utilizará o sistema e a loja física para fazer compras.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Utilizará o sistema para efetuar as compras e atualizar o estoque.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Utilizará o sistema para gerenciar a loja e controlar os lucros e perdas.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0.0" w:type="dxa"/>
        <w:jc w:val="left"/>
        <w:tblInd w:w="-3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35"/>
        <w:gridCol w:w="6795"/>
        <w:tblGridChange w:id="0">
          <w:tblGrid>
            <w:gridCol w:w="2835"/>
            <w:gridCol w:w="6795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Outros Stakeholders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 (Como o outro stakeholder está envolvido ou impactado pela solução)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Equipe de desenvolvimento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Vai desenvolver a solução, acompanhar a implantação e prestar qualquer suporte necessário.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Gerente executivo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Vai garantir que o projeto seja concluído dentro do prazo e da melhor forma possível.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Será o intermediário entre a equipe de desenvolvimento e o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Investidor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Vai investir financeiramente no desenvolvimento da solução. Será beneficiado com o lucro que a solução trará para o grupo de investidores. 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Usuários e Outros Stakeholders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