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Parsers por Formato — Versão Final Completa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API de upload e processamento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parsers por formato (tarefa crítica, 8 PP)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 (5 de 5 formatos)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https://github.com/Theomurah/psp2-ia-universitarios/pull/1, https://github.com/Theomurah/psp2-ia-universitarios/pull/3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9adbf53 (PDF/DOCX/MD), 1de9f5e (PPTX + imagens com vision abstrata)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as funções que extraem texto bruto de arquivos enviados pelo aluno em todos os formatos suportados pelo MVP. Esse texto alimenta os estágios seguintes do pipeline (classificação, síntese, compressão).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Versão inicial (commit 9adbf53) cobria 3 formatos (PDF, DOCX, MD). Esta versão final adiciona PPTX e imagens, fechando os 5 formatos previstos. A arquitetura de imagens foi pensada para ser TROCÁVEL entre providers de visão, com decisão definitiva a ser tomada após testes em produção.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API funcional recebendo e parseando mais de 5 formatos sem erros em testes unitários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Os 5 formatos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 / Estratégia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pdf-parse@1.1.1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parsePdf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mammoth@1.8.0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parseDocx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officeparser@4.0.5 + node:buffer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parsePptx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MD/TXT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TextDecoder nativo Deno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parseMd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Imagens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VisionProvider abstrato (Claude ou Gemini)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parseImage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API uniforme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 função de parser respeita a mesma interface ParseResult. O dispatcher parseDocument(buffer, formato, mimeType?) escolhe a função certa por enum.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interface ParseResult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texto: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metadata: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chars: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paginas?: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formato: FormatoDocumento;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warnings: string[];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Campos específicos de imagens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vision_provider?: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vision_cost_usd?: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vision_duration_ms?: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parseDocument(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buffer: Uint8Array,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formato: FormatoDocumento,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mimeType?: string,         // necessário para imagens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): Promise&lt;ParseResult&gt;;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PPTX — officeparser + polyfill node:buffer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officeparser usa Buffer (Node API). Em Deno, importa-se Buffer via "node:buffer" e converte-se o Uint8Array no momento da chamada: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 officeparser from "npm:officeparser@4.0.5";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 { Buffer } from "node:buffer";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async function parsePptx(buffer: Uint8Array): Promise&lt;ParseResult&gt;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nodeBuf = Buffer.from(buffer);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text = await officeparser.parseOfficeAsync(nodeBuf);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{ texto: text.trim(), metadata: {...}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Decks só com imagens (sem texto significativo) levantam warning sugerindo OCR dos slides exportados — fast-follow.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Imagens — abstração VisionProvider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Arquitetura desacoplada: o parser de imagens não sabe qual modelo está sendo usado. Recebe um VisionProvider via factory e chama .extractText(buffer, mimeType).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interface VisionProvider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readonly name: string;     // "claude" | "gemini"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extractText(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imageBuffer: Uint8Array,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mimeType: string,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): Promise&lt;VisionExtractionResult&gt;;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Factory lendo env var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getVisionProvider(): VisionProvider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choice = Deno.env.get("VISION_PROVIDER") ?? "claude";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switch (choice)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case "claude": return new ClaudeVisionProvider();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case "gemini": return new GeminiVisionProvider();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Providers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1080"/>
        <w:gridCol w:w="108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 / Desvantagens</w:t>
            </w:r>
          </w:p>
        </w:tc>
        <w:tc>
          <w:tcPr>
            <w:tcW w:type="dxa" w:w="1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/ img</w:t>
            </w:r>
          </w:p>
        </w:tc>
        <w:tc>
          <w:tcPr>
            <w:tcW w:type="dxa" w:w="1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anthropic/claude-sonnet-4.6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Excelente OCR de manuscrito (caderno, fotos de quadro). Já é modelo principal do projeto.</w:t>
            </w:r>
          </w:p>
        </w:tc>
        <w:tc>
          <w:tcPr>
            <w:tcW w:type="dxa" w:w="1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~$0.01</w:t>
            </w:r>
          </w:p>
        </w:tc>
        <w:tc>
          <w:tcPr>
            <w:tcW w:type="dxa" w:w="1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Maior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google/gemini-2.0-flash-exp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barato e rápido. OCR levemente inferior pra manuscrito complexo.</w:t>
            </w:r>
          </w:p>
        </w:tc>
        <w:tc>
          <w:tcPr>
            <w:tcW w:type="dxa" w:w="1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~$0.001</w:t>
            </w:r>
          </w:p>
        </w:tc>
        <w:tc>
          <w:tcPr>
            <w:tcW w:type="dxa" w:w="10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Prompt compartilhado entre providers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Mesmo VISION_PROMPT é injetado pros dois providers — garante consistência mínima entre eles. Pede transcrição EXATA (não interpreta nem resume), preserva LaTeX, marca trechos ilegíveis como "[ilegível]" em vez de inventar.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Configuração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variável de ambiente VISION_PROVIDER aceita "claude" | "gemini". Default: "claude". Documentada no .env.example com nota explícita sobre decisão pendente.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.env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VISION_PROVIDER=claude  # ou "gemini"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 Helper de fallback (pronto, não ativado)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função extractWithFallback(buffer, mimeType, primary, secondary) está implementada mas não está sendo usada por padrão. Pode ser ativada quando o time decidir a estratégia de produção (ex: Gemini primeiro pra economia, Claude se confidence &lt; threshold).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4.9. Decisão pendente sobre provider definitivo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6"/>
              <w:left w:val="single" w:color="1F3864" w:sz="16"/>
              <w:bottom w:val="single" w:color="1F3864" w:sz="16"/>
              <w:right w:val="single" w:color="1F3864" w:sz="16"/>
            </w:tcBorders>
            <w:shd w:fill="1F386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ⓘ DECISÃO PENDENTE</w:t>
            </w:r>
          </w:p>
        </w:tc>
      </w:tr>
      <w:tr>
        <w:tc>
          <w:tcPr>
            <w:tcW w:type="dxa" w:w="9360"/>
            <w:tcBorders>
              <w:top w:val="single" w:color="1F3864" w:sz="16"/>
              <w:left w:val="single" w:color="1F3864" w:sz="16"/>
              <w:bottom w:val="single" w:color="1F3864" w:sz="16"/>
              <w:right w:val="single" w:color="1F3864" w:sz="16"/>
            </w:tcBorders>
            <w:shd w:fill="E8F1FB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Qual provider de visão usar em produção</w:t>
            </w:r>
          </w:p>
        </w:tc>
      </w:tr>
      <w:tr>
        <w:tc>
          <w:tcPr>
            <w:tcW w:type="dxa" w:w="9360"/>
            <w:tcBorders>
              <w:top w:val="single" w:color="1F3864" w:sz="16"/>
              <w:left w:val="single" w:color="1F3864" w:sz="16"/>
              <w:bottom w:val="single" w:color="1F3864" w:sz="16"/>
              <w:right w:val="single" w:color="1F3864" w:sz="16"/>
            </w:tcBorders>
            <w:shd w:fill="E8F1FB" w:color="auto" w:val="clear"/>
            <w:tcMar>
              <w:top w:type="dxa" w:w="8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Qual provider será o oficial em produção ainda não foi decidido. Os critérios em consideração: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Qualidade de OCR em casos reais (foto de quadro, anotações manuscritas, slides exportados).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total a partir de ~100 alunos × ~50 imagens por semestre = 5000 imagens.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Latência (afeta UX percebida no dashboard).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Eventual rotação dinâmica (ex: tenta Gemini primeiro, fallback Claude se confiança baixa).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 abstração já implementada permite TROCAR via env var sem nenhuma mudança de código. Default no .env.example é "claude" (escolha conservadora pra MVP). Helper extractWithFallback fica pronto pra ativar rotação dinâmica quando o time decidir.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Próximos passos pra fechar a decisão: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Rodar 30 imagens reais (10 manuscritas, 10 slides, 10 prints) com cada provider e comparar qualidade vs custo.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Avaliar se o tempo extra do Claude (~3s vs ~1s) compromete 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Revisar projeção de custo mensal com base na adoção esperada.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4.10. Integração no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process-document/index.ts passa fileBlob.type como mimeType ao parseDocument. Quando o formato é imagem, o log do step "parse" inclui provider, custo e duração via job_events: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await logEvent("parse", "success",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duration_ms: Date.now() - t0,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llm_model: parseResult.metadata.vision_provider,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cost_usd: parseResult.metadata.vision_cost_usd,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message: `${parseResult.metadata.chars} chars via OCR (${provider})`,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5 formatos atendem à mesma interface ParseResult.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ParseError preserva cause original e identifica formato — útil pra debug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Vision providers expõem o mesmo VisionProvider — trocar provider é zero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node:buffer polyfill funciona em Deno (testado em ambiente Edge Function).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Documentação completa do trade-off entre providers — facilita decisão futura.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— callLLMWithRetry usado pelos vision providers.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OpenRouter aceita chamadas multimodais (content array com image_url) para ambos os modelos.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OPENROUTER_API_KEY configurada nos secrets.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consegue subir HEIC/JPG/PNG (24 arquivos identificados no scraping da pasta do Theo).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completo termina mesmo quando o formato original é imagem.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de custo de OCR aparecem no dashboard interno via job_events.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Fechar decisão sobre provider definitivo (ver caixa 4.9).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OCR de slides PPTX exportados como imagens (decks só visuais).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pré-processamento opcional de imagens (rotação automática se metadata EXIF indicar; redução de resolução pra 1024px pra economia).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 formal: 30 imagens reais × 2 providers × tempo + custo + qualidade.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S1T13 - Parsers por Formato</dc:title>
  <dc:creator>Isaac</dc:creator>
  <dc:description>PSP2 - S1T13 - Parsers por Formato</dc:description>
  <cp:lastModifiedBy>Un-named</cp:lastModifiedBy>
  <cp:revision>1</cp:revision>
  <dcterms:created xsi:type="dcterms:W3CDTF">2026-05-14T03:37:52.196Z</dcterms:created>
  <dcterms:modified xsi:type="dcterms:W3CDTF">2026-05-14T03:37:52.201Z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