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4 / Tarefa 47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Metodologia da pesquisa e arquitetura do sistema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metodologia é o “como” da pesquisa: descreve passo a passo o caminho que foi seguido para chegar aos resultados. Sem isso, o leitor não sabe se confiar nas conclusões — porque não consegue verificar se o método é sólido nem reproduzir o experimento. É o que separa um artigo científico de uma opinião bem escrita.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arquitetura do sistema, por sua vez, é a “planta baixa” da solução: que camadas existem, que tecnologia roda em cada uma, como elas se conversam. Para quem nunca olhou o código, esse mapa é a forma mais rápida de entender por dentro o que o produto faz. Esta entrega junta as duas coisas, porque no método Design Science Research o artefato é parte integrante da pesquisa.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Um avaliador experiente sabe que metodologia mal descrita derruba qualquer trabalho. Aqui escolhemos o Design Science Research, método que é referência em Engenharia de Produção para projetos que criam soluções tecnológicas. Justificar bem essa escolha e detalhar cada fase é o que dá legitimidade aos resultados quantitativos das próximas seções.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Sprint 4 — Tarefa 47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Épico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Documentação e Artigo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História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Redigir artigo final do projeto (problema, metodologia, resultados, conclusão)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Tarefa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Escrever metodologia e arquitetura do sistema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Responsável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Isaac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Planning Poker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de início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23/06/2026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de entrega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09/07/2026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Concluído</w:t>
            </w:r>
          </w:p>
        </w:tc>
      </w:tr>
      <w:tr>
        <w:tc>
          <w:tcPr>
            <w:tcW w:type="dxa" w:w="28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shd w:fill="F2F2F2" w:color="auto" w:val="clear"/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Arquivo do artigo</w:t>
            </w:r>
          </w:p>
        </w:tc>
        <w:tc>
          <w:tcPr>
            <w:tcW w:type="dxa" w:w="6480"/>
            <w:tcBorders>
              <w:top w:val="single" w:color="B0B0B0" w:sz="4"/>
              <w:start w:val="single" w:color="B0B0B0" w:sz="4"/>
              <w:bottom w:val="single" w:color="B0B0B0" w:sz="4"/>
              <w:end w:val="single" w:color="B0B0B0" w:sz="4"/>
            </w:tcBorders>
            <w:tcMar>
              <w:top w:type="dxa" w:w="100"/>
              <w:start w:type="dxa" w:w="140"/>
              <w:bottom w:type="dxa" w:w="100"/>
              <w:end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Entregas/Sprint 0/PSP2_Artigo_ENEGEP_Introducao.docx (Seções 3 e 4)</w:t>
            </w:r>
          </w:p>
        </w:tc>
      </w:tr>
    </w:tbl>
    <w:p>
      <w:pPr>
        <w:spacing w:after="120"/>
      </w:pP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Redigir as Seções 3 (Metodologia) e 4 (Desenvolvimento do artefato) do artigo, caracterizando a pesquisa quanto à natureza, abordagem, população e amostra, instrumentos e forma de análise dos dados, e descrevendo a arquitetura técnica do sistema desenvolvido — pipeline de processamento, mecanismos de validação e estratégia de geração do artefato portátil.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Seções 3 e 4 redigidas em conformidade com o template ENEGEP 2026 (Times New Roman 12, espaçamento 1,5, citações ABNT), totalizando entre 3 e 5 páginas, com justificativa explícita da escolha do método Design Science Research e descrição reproduzível dos cinco estágios do pipeline.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Estrutura da Seção 3 — Metodologia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3.1 Caracterização da pesquisa: aplicada, abordagem mista, exploratório-descritiva (no desenvolvimento) e avaliativa (nos testes); método Design Science Research justificado por Hevner et al. (2004), Peffers et al. (2007) e Dresch, Lacerda e Antunes Jr. (2015).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3.2 Contexto e participantes: disciplina PSP2 da UnB, semestre 2026.1; amostra por conveniência de dez estudantes recrutados via redes sociais acadêmicas, com Termo de Consentimento Livre e Esclarecido (TCLE).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3.3 Procedimentos metodológicos: mapeamento das seis atividades da DSRM em quatro sprints de três semanas cada.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3.4 Coleta de dados e instrumentos: validação técnica com 50 documentos + sessões individuais com SUS, TAM, cronometragem e entrevista semiestruturada.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3.5 Análise de dados e métricas: estatística descritiva nos dados quantitativos e análise de conteúdo (Bardin, 2011) nos qualitativos; quatro critérios de aceitação numéricos.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Estrutura da Seção 4 — Desenvolvimento do artefato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4.1 Arquitetura da solução: três camadas (apresentação em React/Vite na Vercel, aplicação em Supabase Edge Functions Deno, persistência em Postgres com Row Level Security), com integração ao OpenRouter para LLMs e ao Google Drive via OAuth 2.0 com escopo restrito.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4.2 Pipeline de processamento: cinco estágios sequenciais (parse multi-formato, classificação, síntese, compressão e nomenclatura/exportação), com tratamento assíncrono pela restrição de 60 segundos das Edge Functions.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4.3 Validação em quatro camadas: estrutural (Zod), quantitativa, semântica e LLM-as-judge, executadas em ordem crescente de custo computacional.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4.4 Geração do artefato portátil: estrutura hierárquica no Google Drive + system prompt personalizado + biblioteca interna com oito prompts para tarefas acadêmicas recorrentes.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Decisões editoriais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Cada decisão arquitetural relevante foi contextualizada pela restrição que a motivou — por exemplo, o pipeline assíncrono é justificado pelo limite de 60 segundos das Edge Functions.</w:t>
      </w:r>
    </w:p>
    <w:p>
      <w:pPr>
        <w:spacing w:after="100"/>
        <w:ind w:start="360" w:hanging="220"/>
      </w:pPr>
      <w:r>
        <w:rPr>
          <w:rFonts w:ascii="Arial" w:cs="Arial" w:eastAsia="Arial" w:hAnsi="Arial"/>
          <w:sz w:val="22"/>
          <w:szCs w:val="22"/>
        </w:rPr>
        <w:t xml:space="preserve">• Comparação explícita com sistemas relacionados (RAGMan, CourseAssist, DeepTutor) sustenta a diferenciação central do artefato: geração de saída portátil em vez de plataforma fechada.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Seção 3 foi revisada cruzando-se cada item descrito no instrumento de avaliação com o que efetivamente foi planejado nos sprints. A Seção 4 foi revisada pelo Isaac (backend) e pelo Pedro (frontend) para conferência da fidelidade das descrições técnicas em relação ao código real implementado.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conteúdo foi convertido para PDF e teve sua paginação validada (aproximadamente 4 páginas para as duas seções juntas), respeitando o limite total de 14 páginas do corpo do artigo.</w:t>
      </w:r>
    </w:p>
    <w:p>
      <w:pPr>
        <w:pStyle w:val="Heading2"/>
        <w:spacing w:after="18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Habilita: (i) a Seção 5 (Resultados), que apresenta os números obtidos a partir dos instrumentos descritos aqui; (ii) o entendimento técnico necessário para o pacote de entrega (T54); e (iii) eventuais perguntas dos avaliadores durante a apresentação final sobre a stack e o pipeline.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 que ficou fora desta entrega: dados experimentais propriamente ditos (T48), discussão à luz da literatura (T48), trabalhos futuros (T49) e revisão de conformidade ABNT (T50).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S1T01 - Mapear Requisitos Técnicos</dc:title>
  <dc:creator>Theo Murahovschi</dc:creator>
  <dc:description>Entrega da Tarefa 1 da Sprint 1 - Mapeamento de Requisitos Técnicos</dc:description>
  <cp:lastModifiedBy>Un-named</cp:lastModifiedBy>
  <cp:revision>1</cp:revision>
  <dcterms:created xsi:type="dcterms:W3CDTF">2026-05-06T17:20:47.091Z</dcterms:created>
  <dcterms:modified xsi:type="dcterms:W3CDTF">2026-05-06T17:20:47.096Z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