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spacing w:before="40" w:line="360" w:lineRule="auto"/>
        <w:rPr>
          <w:b/>
          <w:bCs/>
          <w:color w:val="333333"/>
          <w:sz w:val="24"/>
          <w:szCs w:val="24"/>
        </w:rPr>
      </w:pPr>
      <w:r>
        <w:rPr>
          <w:b/>
          <w:bCs/>
          <w:color w:val="333333"/>
          <w:sz w:val="24"/>
          <w:szCs w:val="24"/>
        </w:rPr>
        <w:t>1. Introdução</w:t>
      </w:r>
    </w:p>
    <w:p>
      <w:pPr>
        <w:keepNext/>
        <w:keepLines/>
        <w:spacing w:line="360" w:lineRule="auto"/>
        <w:rPr>
          <w:b/>
          <w:bCs/>
          <w:color w:val="333333"/>
          <w:sz w:val="24"/>
          <w:szCs w:val="24"/>
        </w:rPr>
      </w:pPr>
      <w:r>
        <w:rPr>
          <w:b/>
          <w:bCs/>
          <w:color w:val="333333"/>
          <w:sz w:val="24"/>
          <w:szCs w:val="24"/>
        </w:rPr>
        <w:t>1.1. Contextualização do tema</w:t>
      </w:r>
    </w:p>
    <w:p>
      <w:pPr>
        <w:widowControl/>
        <w:spacing w:line="360" w:lineRule="auto"/>
        <w:jc w:val="both"/>
        <w:rPr>
          <w:color w:val="333333"/>
          <w:sz w:val="24"/>
          <w:szCs w:val="24"/>
        </w:rPr>
      </w:pPr>
      <w:r>
        <w:rPr>
          <w:color w:val="333333"/>
          <w:sz w:val="24"/>
          <w:szCs w:val="24"/>
        </w:rPr>
        <w:t xml:space="preserve">A crescente popularização de plataformas de inteligência artificial generativa, como ChatGPT, Claude e Gemini, transformou o cenário acadêmico nos últimos anos. Estudantes universitários passaram a utilizar essas ferramentas como auxílio em tarefas que vão desde a revisão de conteúdos até a geração de planos de estudo e preparação para avaliações. No entanto, essas plataformas operam, por padrão, de forma genérica: sem acesso ao contexto específico do semestre, das disciplinas cursadas, dos materiais disponibilizados pelos professores ou do cronograma acadêmico do aluno.</w:t>
      </w:r>
    </w:p>
    <w:p>
      <w:pPr>
        <w:widowControl/>
        <w:spacing w:line="360" w:lineRule="auto"/>
        <w:jc w:val="both"/>
        <w:rPr>
          <w:color w:val="333333"/>
          <w:sz w:val="24"/>
          <w:szCs w:val="24"/>
        </w:rPr>
      </w:pPr>
      <w:r>
        <w:rPr>
          <w:color w:val="333333"/>
          <w:sz w:val="24"/>
          <w:szCs w:val="24"/>
        </w:rPr>
        <w:t xml:space="preserve">Na Universidade de Brasília (UnB), um estudante de graduação tipicamente gerencia entre seis e nove disciplinas por semestre, cada uma com plano de ensino, cronograma, slides, listas de exercícios, anotações de aula e materiais complementares distribuídos em formatos heterogêneos (PDF, DOCX, PPTX, imagens de quadro, arquivos Markdown). Esses documentos acumulam-se de forma dispersa entre plataformas como SIGAA, e-mail institucional, grupos de WhatsApp e pastas locais no computador do aluno, sem qualquer padrão de organização ou nomenclatura.</w:t>
      </w:r>
    </w:p>
    <w:p>
      <w:pPr>
        <w:widowControl/>
        <w:spacing w:line="360" w:lineRule="auto"/>
        <w:jc w:val="both"/>
        <w:rPr>
          <w:color w:val="333333"/>
          <w:sz w:val="24"/>
          <w:szCs w:val="24"/>
        </w:rPr>
      </w:pPr>
      <w:r>
        <w:rPr>
          <w:color w:val="333333"/>
          <w:sz w:val="24"/>
          <w:szCs w:val="24"/>
        </w:rPr>
        <w:t xml:space="preserve">Esse cenário cria uma lacuna significativa: embora a tecnologia de IA esteja amplamente disponível, sua eficácia como ferramenta de apoio acadêmico é severamente limitada pela ausência de contexto personalizado. O potencial dessas plataformas só se realiza plenamente quando alimentadas com informações específicas e estruturadas sobre a realidade acadêmica do usuário.</w:t>
      </w:r>
    </w:p>
    <w:p>
      <w:pPr>
        <w:widowControl/>
        <w:spacing w:line="360" w:lineRule="auto"/>
        <w:jc w:val="both"/>
        <w:rPr>
          <w:color w:val="333333"/>
          <w:sz w:val="24"/>
          <w:szCs w:val="24"/>
        </w:rPr>
      </w:pPr>
    </w:p>
    <w:p>
      <w:pPr>
        <w:keepNext/>
        <w:keepLines/>
        <w:spacing w:line="360" w:lineRule="auto"/>
        <w:rPr>
          <w:b/>
          <w:bCs/>
          <w:color w:val="333333"/>
          <w:sz w:val="24"/>
          <w:szCs w:val="24"/>
        </w:rPr>
      </w:pPr>
      <w:r>
        <w:rPr>
          <w:b/>
          <w:bCs/>
          <w:color w:val="333333"/>
          <w:sz w:val="24"/>
          <w:szCs w:val="24"/>
        </w:rPr>
        <w:t>1.2. Problema</w:t>
      </w:r>
    </w:p>
    <w:p>
      <w:pPr>
        <w:widowControl/>
        <w:spacing w:line="360" w:lineRule="auto"/>
        <w:jc w:val="both"/>
        <w:rPr>
          <w:color w:val="333333"/>
          <w:sz w:val="24"/>
          <w:szCs w:val="24"/>
        </w:rPr>
      </w:pPr>
      <w:r>
        <w:rPr>
          <w:color w:val="333333"/>
          <w:sz w:val="24"/>
          <w:szCs w:val="24"/>
        </w:rPr>
        <w:t xml:space="preserve">O problema central abordado por este projeto reside na desconexão entre os materiais acadêmicos que o estudante possui e a capacidade das plataformas de IA generativa de utilizá-los de forma contextualizada. Atualmente, o aluno que deseja usar uma IA como assistente de estudos enfrenta três obstáculos interdependentes.</w:t>
      </w:r>
    </w:p>
    <w:p>
      <w:pPr>
        <w:widowControl/>
        <w:spacing w:line="360" w:lineRule="auto"/>
        <w:jc w:val="both"/>
        <w:rPr>
          <w:color w:val="333333"/>
          <w:sz w:val="24"/>
          <w:szCs w:val="24"/>
        </w:rPr>
      </w:pPr>
      <w:r>
        <w:rPr>
          <w:color w:val="333333"/>
          <w:sz w:val="24"/>
          <w:szCs w:val="24"/>
        </w:rPr>
        <w:t xml:space="preserve">Primeiro, os documentos acadêmicos estão dispersos em múltiplos formatos e locais, sem padronização. Segundo, a transformação desses documentos brutos em material organizado e sintético é um processo manual, demorado e sujeito a perdas de informação. Terceiro, mesmo após organizar seus materiais, o aluno não sabe como configurar uma IA para utilizá-los adequadamente, pois carece de conhecimento em engenharia de prompts e estruturação de contexto.</w:t>
      </w:r>
    </w:p>
    <w:p>
      <w:pPr>
        <w:widowControl/>
        <w:spacing w:line="360" w:lineRule="auto"/>
        <w:jc w:val="both"/>
        <w:rPr>
          <w:color w:val="333333"/>
          <w:sz w:val="24"/>
          <w:szCs w:val="24"/>
        </w:rPr>
      </w:pPr>
      <w:r>
        <w:rPr>
          <w:color w:val="333333"/>
          <w:sz w:val="24"/>
          <w:szCs w:val="24"/>
        </w:rPr>
        <w:t xml:space="preserve">O resultado é que a maioria dos estudantes utiliza IAs generativas de forma subotimizada: fazem perguntas genéricas e recebem respostas genéricas, desconectadas do que seus professores efetivamente ensinam e cobram em avaliações. Estima-se que um estudante gaste entre três e cinco horas semanais apenas buscando, organizando e estruturando materiais acadêmicos dispersos, tempo que poderia ser redirecionado ao estudo efetivo.</w:t>
      </w:r>
    </w:p>
    <w:p>
      <w:pPr>
        <w:widowControl/>
        <w:spacing w:line="360" w:lineRule="auto"/>
        <w:jc w:val="both"/>
        <w:rPr>
          <w:color w:val="333333"/>
          <w:sz w:val="24"/>
          <w:szCs w:val="24"/>
        </w:rPr>
      </w:pPr>
    </w:p>
    <w:p>
      <w:pPr>
        <w:keepNext/>
        <w:keepLines/>
        <w:spacing w:line="360" w:lineRule="auto"/>
        <w:rPr>
          <w:b/>
          <w:bCs/>
          <w:color w:val="333333"/>
          <w:sz w:val="24"/>
          <w:szCs w:val="24"/>
        </w:rPr>
      </w:pPr>
      <w:r>
        <w:rPr>
          <w:b/>
          <w:bCs/>
          <w:color w:val="333333"/>
          <w:sz w:val="24"/>
          <w:szCs w:val="24"/>
        </w:rPr>
        <w:t>1.3. Justificativa</w:t>
      </w:r>
    </w:p>
    <w:p>
      <w:pPr>
        <w:widowControl/>
        <w:spacing w:line="360" w:lineRule="auto"/>
        <w:jc w:val="both"/>
        <w:rPr>
          <w:color w:val="333333"/>
          <w:sz w:val="24"/>
          <w:szCs w:val="24"/>
        </w:rPr>
      </w:pPr>
      <w:r>
        <w:rPr>
          <w:color w:val="333333"/>
          <w:sz w:val="24"/>
          <w:szCs w:val="24"/>
        </w:rPr>
        <w:t xml:space="preserve">A justificativa para este projeto fundamenta-se em três pilares. O primeiro é a demanda observada: em levantamento informal com alunos de Engenharia de Produção da UnB, constatou-se que aproximadamente 85% utilizam alguma plataforma de IA generativa para fins acadêmicos, porém nenhum dos entrevistados configurou sua IA com contexto personalizado do semestre. A barreira não é o acesso à tecnologia, mas a ausência de um processo estruturado para alimentar essas ferramentas com o contexto adequado.</w:t>
      </w:r>
    </w:p>
    <w:p>
      <w:pPr>
        <w:widowControl/>
        <w:spacing w:line="360" w:lineRule="auto"/>
        <w:jc w:val="both"/>
        <w:rPr>
          <w:color w:val="333333"/>
          <w:sz w:val="24"/>
          <w:szCs w:val="24"/>
        </w:rPr>
      </w:pPr>
      <w:r>
        <w:rPr>
          <w:color w:val="333333"/>
          <w:sz w:val="24"/>
          <w:szCs w:val="24"/>
        </w:rPr>
        <w:t xml:space="preserve">O segundo pilar é a viabilidade técnica. As plataformas de IA generativa já oferecem mecanismos nativos de personalização, como os Projects do Claude, Custom GPTs do ChatGPT e Gems do Gemini, que permitem ao usuário conectar documentos e definir instruções personalizadas. O que falta é um sistema intermediário que processe os documentos brutos do aluno e os prepare para consumo por essas plataformas.</w:t>
      </w:r>
    </w:p>
    <w:p>
      <w:pPr>
        <w:widowControl/>
        <w:spacing w:line="360" w:lineRule="auto"/>
        <w:jc w:val="both"/>
        <w:rPr>
          <w:color w:val="333333"/>
          <w:sz w:val="24"/>
          <w:szCs w:val="24"/>
        </w:rPr>
      </w:pPr>
      <w:r>
        <w:rPr>
          <w:color w:val="333333"/>
          <w:sz w:val="24"/>
          <w:szCs w:val="24"/>
        </w:rPr>
        <w:t xml:space="preserve">O terceiro pilar é o impacto potencial na produtividade acadêmica. Ao automatizar a organização, síntese e estruturação dos materiais, o sistema proposto pode reduzir em até 50-60% o tempo gasto pelo estudante com tarefas de organização, além de transformar qualquer LLM genérica em um assistente calibrado para o contexto específico daquele aluno, gerando respostas baseadas nos materiais reais dos seus professores.</w:t>
      </w:r>
    </w:p>
    <w:p>
      <w:pPr>
        <w:widowControl/>
        <w:spacing w:line="360" w:lineRule="auto"/>
        <w:jc w:val="both"/>
        <w:rPr>
          <w:color w:val="333333"/>
          <w:sz w:val="24"/>
          <w:szCs w:val="24"/>
        </w:rPr>
      </w:pPr>
    </w:p>
    <w:p>
      <w:pPr>
        <w:keepNext/>
        <w:keepLines/>
        <w:spacing w:line="360" w:lineRule="auto"/>
        <w:rPr>
          <w:b/>
          <w:bCs/>
          <w:color w:val="333333"/>
          <w:sz w:val="24"/>
          <w:szCs w:val="24"/>
        </w:rPr>
      </w:pPr>
      <w:r>
        <w:rPr>
          <w:b/>
          <w:bCs/>
          <w:color w:val="333333"/>
          <w:sz w:val="24"/>
          <w:szCs w:val="24"/>
        </w:rPr>
        <w:t>1.4. Objetivos</w:t>
      </w:r>
    </w:p>
    <w:p>
      <w:pPr>
        <w:widowControl/>
        <w:spacing w:line="360" w:lineRule="auto"/>
        <w:jc w:val="both"/>
        <w:rPr>
          <w:color w:val="333333"/>
          <w:sz w:val="24"/>
          <w:szCs w:val="24"/>
        </w:rPr>
      </w:pPr>
      <w:r>
        <w:rPr>
          <w:b/>
          <w:bCs/>
          <w:color w:val="333333"/>
          <w:sz w:val="24"/>
          <w:szCs w:val="24"/>
        </w:rPr>
        <w:t xml:space="preserve">1.4.1. Objetivo geral</w:t>
      </w:r>
    </w:p>
    <w:p>
      <w:pPr>
        <w:widowControl/>
        <w:spacing w:line="360" w:lineRule="auto"/>
        <w:jc w:val="both"/>
        <w:rPr>
          <w:color w:val="333333"/>
          <w:sz w:val="24"/>
          <w:szCs w:val="24"/>
        </w:rPr>
      </w:pPr>
      <w:r>
        <w:rPr>
          <w:color w:val="333333"/>
          <w:sz w:val="24"/>
          <w:szCs w:val="24"/>
        </w:rPr>
        <w:t xml:space="preserve">Desenvolver um sistema web que receba documentos acadêmicos brutos do estudante em múltiplos formatos, processe e sintetize seu conteúdo via modelos de linguagem, organize e exporte os resultados para o Google Drive do aluno com nomenclatura padronizada, e gere automaticamente um conjunto de instruções personalizadas (system prompt) e uma biblioteca de prompts para uso na plataforma de IA de preferência do usuário.</w:t>
      </w:r>
    </w:p>
    <w:p>
      <w:pPr>
        <w:widowControl/>
        <w:spacing w:line="360" w:lineRule="auto"/>
        <w:jc w:val="both"/>
        <w:rPr>
          <w:color w:val="333333"/>
          <w:sz w:val="24"/>
          <w:szCs w:val="24"/>
        </w:rPr>
      </w:pPr>
    </w:p>
    <w:p>
      <w:pPr>
        <w:widowControl/>
        <w:spacing w:line="360" w:lineRule="auto"/>
        <w:jc w:val="both"/>
        <w:rPr>
          <w:color w:val="333333"/>
          <w:sz w:val="24"/>
          <w:szCs w:val="24"/>
        </w:rPr>
      </w:pPr>
      <w:r>
        <w:rPr>
          <w:b/>
          <w:bCs/>
          <w:color w:val="333333"/>
          <w:sz w:val="24"/>
          <w:szCs w:val="24"/>
        </w:rPr>
        <w:t xml:space="preserve">1.4.2. Objetivos específicos</w:t>
      </w:r>
    </w:p>
    <w:p>
      <w:pPr>
        <w:widowControl/>
        <w:spacing w:line="360" w:lineRule="auto"/>
        <w:jc w:val="both"/>
        <w:rPr>
          <w:color w:val="333333"/>
          <w:sz w:val="24"/>
          <w:szCs w:val="24"/>
        </w:rPr>
      </w:pPr>
      <w:r>
        <w:rPr>
          <w:color w:val="333333"/>
          <w:sz w:val="24"/>
          <w:szCs w:val="24"/>
        </w:rPr>
        <w:t xml:space="preserve">a) Desenvolver uma API backend capaz de receber e processar documentos em pelo menos cinco formatos distintos (PDF, DOCX, PPTX, imagens e Markdown);</w:t>
      </w:r>
    </w:p>
    <w:p>
      <w:pPr>
        <w:widowControl/>
        <w:spacing w:line="360" w:lineRule="auto"/>
        <w:jc w:val="both"/>
        <w:rPr>
          <w:color w:val="333333"/>
          <w:sz w:val="24"/>
          <w:szCs w:val="24"/>
        </w:rPr>
      </w:pPr>
      <w:r>
        <w:rPr>
          <w:color w:val="333333"/>
          <w:sz w:val="24"/>
          <w:szCs w:val="24"/>
        </w:rPr>
        <w:t xml:space="preserve">b) Implementar um pipeline de processamento baseado em LLM que classifique, sintetize e comprima documentos acadêmicos sem perda de conteúdo técnico relevante;</w:t>
      </w:r>
    </w:p>
    <w:p>
      <w:pPr>
        <w:widowControl/>
        <w:spacing w:line="360" w:lineRule="auto"/>
        <w:jc w:val="both"/>
        <w:rPr>
          <w:color w:val="333333"/>
          <w:sz w:val="24"/>
          <w:szCs w:val="24"/>
        </w:rPr>
      </w:pPr>
      <w:r>
        <w:rPr>
          <w:color w:val="333333"/>
          <w:sz w:val="24"/>
          <w:szCs w:val="24"/>
        </w:rPr>
        <w:t xml:space="preserve">c) Integrar o sistema com a API do Google Drive para exportação automática dos documentos processados, organizados em estrutura de pastas por disciplina;</w:t>
      </w:r>
    </w:p>
    <w:p>
      <w:pPr>
        <w:widowControl/>
        <w:spacing w:line="360" w:lineRule="auto"/>
        <w:jc w:val="both"/>
        <w:rPr>
          <w:color w:val="333333"/>
          <w:sz w:val="24"/>
          <w:szCs w:val="24"/>
        </w:rPr>
      </w:pPr>
      <w:r>
        <w:rPr>
          <w:color w:val="333333"/>
          <w:sz w:val="24"/>
          <w:szCs w:val="24"/>
        </w:rPr>
        <w:t xml:space="preserve">d) Desenvolver um gerador automático de system prompt personalizado e uma biblioteca de pelo menos oito prompts para tarefas acadêmicas recorrentes;</w:t>
      </w:r>
    </w:p>
    <w:p>
      <w:pPr>
        <w:widowControl/>
        <w:spacing w:line="360" w:lineRule="auto"/>
        <w:jc w:val="both"/>
        <w:rPr>
          <w:color w:val="333333"/>
          <w:sz w:val="24"/>
          <w:szCs w:val="24"/>
        </w:rPr>
      </w:pPr>
      <w:r>
        <w:rPr>
          <w:color w:val="333333"/>
          <w:sz w:val="24"/>
          <w:szCs w:val="24"/>
        </w:rPr>
        <w:t xml:space="preserve">e) Criar uma interface web com funcionalidades de upload, acompanhamento de processamento e visualização dos prompts gerados;</w:t>
      </w:r>
    </w:p>
    <w:p>
      <w:pPr>
        <w:widowControl/>
        <w:spacing w:line="360" w:lineRule="auto"/>
        <w:jc w:val="both"/>
        <w:rPr>
          <w:color w:val="333333"/>
          <w:sz w:val="24"/>
          <w:szCs w:val="24"/>
        </w:rPr>
      </w:pPr>
      <w:r>
        <w:rPr>
          <w:color w:val="333333"/>
          <w:sz w:val="24"/>
          <w:szCs w:val="24"/>
        </w:rPr>
        <w:t xml:space="preserve">f) Validar o protótipo com pelo menos dez alunos reais da UnB, mensurando satisfação e redução de tempo.</w:t>
      </w:r>
    </w:p>
    <w:p>
      <w:pPr>
        <w:widowControl/>
        <w:spacing w:line="360" w:lineRule="auto"/>
        <w:jc w:val="both"/>
        <w:rPr>
          <w:color w:val="333333"/>
          <w:sz w:val="24"/>
          <w:szCs w:val="24"/>
        </w:rPr>
      </w:pPr>
    </w:p>
    <w:p>
      <w:pPr>
        <w:widowControl/>
        <w:spacing w:line="360" w:lineRule="auto"/>
        <w:jc w:val="both"/>
        <w:rPr>
          <w:color w:val="333333"/>
          <w:sz w:val="24"/>
          <w:szCs w:val="24"/>
        </w:rPr>
      </w:pPr>
      <w:r>
        <w:rPr>
          <w:b/>
          <w:bCs/>
          <w:color w:val="333333"/>
          <w:sz w:val="24"/>
          <w:szCs w:val="24"/>
        </w:rPr>
        <w:t xml:space="preserve">1.4.3. Objetivo SMART</w:t>
      </w:r>
    </w:p>
    <w:p>
      <w:pPr>
        <w:widowControl/>
        <w:spacing w:line="360" w:lineRule="auto"/>
        <w:jc w:val="both"/>
        <w:rPr>
          <w:color w:val="333333"/>
          <w:sz w:val="24"/>
          <w:szCs w:val="24"/>
        </w:rPr>
      </w:pPr>
      <w:r>
        <w:rPr>
          <w:b/>
          <w:bCs/>
          <w:color w:val="333333"/>
          <w:sz w:val="24"/>
          <w:szCs w:val="24"/>
        </w:rPr>
        <w:t xml:space="preserve">Específico (S): </w:t>
      </w:r>
      <w:r>
        <w:rPr>
          <w:color w:val="333333"/>
          <w:sz w:val="24"/>
          <w:szCs w:val="24"/>
        </w:rPr>
        <w:t xml:space="preserve">Desenvolver um protótipo funcional de sistema web que recebe documentos acadêmicos brutos, processa via LLM (síntese, classificação e compressão), exporta organizados para Google Drive e gera system prompt personalizado com biblioteca de prompts acadêmicos.</w:t>
      </w:r>
    </w:p>
    <w:p>
      <w:pPr>
        <w:widowControl/>
        <w:spacing w:line="360" w:lineRule="auto"/>
        <w:jc w:val="both"/>
        <w:rPr>
          <w:color w:val="333333"/>
          <w:sz w:val="24"/>
          <w:szCs w:val="24"/>
        </w:rPr>
      </w:pPr>
      <w:r>
        <w:rPr>
          <w:b/>
          <w:bCs/>
          <w:color w:val="333333"/>
          <w:sz w:val="24"/>
          <w:szCs w:val="24"/>
        </w:rPr>
        <w:t xml:space="preserve">Mensurável (M): </w:t>
      </w:r>
      <w:r>
        <w:rPr>
          <w:color w:val="333333"/>
          <w:sz w:val="24"/>
          <w:szCs w:val="24"/>
        </w:rPr>
        <w:t xml:space="preserve">Taxa de processamento correto ≥ 80% em 50 documentos-teste de cinco formatos distintos; satisfação ≥ 70% medida por formulário pós-uso com pelo menos dez alunos; redução de ≥ 50% no tempo de organização (comparação cronometrada: manual versus sistema).</w:t>
      </w:r>
    </w:p>
    <w:p>
      <w:pPr>
        <w:widowControl/>
        <w:spacing w:line="360" w:lineRule="auto"/>
        <w:jc w:val="both"/>
        <w:rPr>
          <w:color w:val="333333"/>
          <w:sz w:val="24"/>
          <w:szCs w:val="24"/>
        </w:rPr>
      </w:pPr>
      <w:r>
        <w:rPr>
          <w:b/>
          <w:bCs/>
          <w:color w:val="333333"/>
          <w:sz w:val="24"/>
          <w:szCs w:val="24"/>
        </w:rPr>
        <w:t xml:space="preserve">Alcançável (A): </w:t>
      </w:r>
      <w:r>
        <w:rPr>
          <w:color w:val="333333"/>
          <w:sz w:val="24"/>
          <w:szCs w:val="24"/>
        </w:rPr>
        <w:t xml:space="preserve">Equipe de cinco integrantes com competências complementares (backend, frontend, integração de IA, design), utilizando APIs no tier gratuito ou freemium (Claude Haiku, Google Drive API) e infraestrutura sem custo (Vercel, Supabase), em quatro sprints de três semanas.</w:t>
      </w:r>
    </w:p>
    <w:p>
      <w:pPr>
        <w:widowControl/>
        <w:spacing w:line="360" w:lineRule="auto"/>
        <w:jc w:val="both"/>
        <w:rPr>
          <w:color w:val="333333"/>
          <w:sz w:val="24"/>
          <w:szCs w:val="24"/>
        </w:rPr>
      </w:pPr>
      <w:r>
        <w:rPr>
          <w:b/>
          <w:bCs/>
          <w:color w:val="333333"/>
          <w:sz w:val="24"/>
          <w:szCs w:val="24"/>
        </w:rPr>
        <w:t xml:space="preserve">Relevante (R): </w:t>
      </w:r>
      <w:r>
        <w:rPr>
          <w:color w:val="333333"/>
          <w:sz w:val="24"/>
          <w:szCs w:val="24"/>
        </w:rPr>
        <w:t xml:space="preserve">Resolve diretamente os problemas documentados nas justificativas: desorganização de materiais, perda de tempo com tarefas manuais e falta de contexto personalizado nas IAs genéricas utilizadas por estudantes de graduação.</w:t>
      </w:r>
    </w:p>
    <w:p>
      <w:pPr>
        <w:widowControl/>
        <w:spacing w:line="360" w:lineRule="auto"/>
        <w:jc w:val="both"/>
        <w:rPr>
          <w:color w:val="333333"/>
          <w:sz w:val="24"/>
          <w:szCs w:val="24"/>
        </w:rPr>
      </w:pPr>
      <w:r>
        <w:rPr>
          <w:b/>
          <w:bCs/>
          <w:color w:val="333333"/>
          <w:sz w:val="24"/>
          <w:szCs w:val="24"/>
        </w:rPr>
        <w:t xml:space="preserve">Temporal (T): </w:t>
      </w:r>
      <w:r>
        <w:rPr>
          <w:color w:val="333333"/>
          <w:sz w:val="24"/>
          <w:szCs w:val="24"/>
        </w:rPr>
        <w:t xml:space="preserve">Início em 09 de abril de 2026, protótipo funcional testado até 09 de junho de 2026, entrega final com artigo e apresentação até 09 de julho de 2026.</w:t>
      </w:r>
    </w:p>
    <w:p>
      <w:pPr>
        <w:keepNext/>
        <w:keepLines/>
        <w:spacing w:before="40" w:line="360" w:lineRule="auto"/>
        <w:rPr>
          <w:b/>
          <w:bCs/>
          <w:color w:val="333333"/>
          <w:sz w:val="24"/>
          <w:szCs w:val="24"/>
        </w:rPr>
      </w:pPr>
      <w:r>
        <w:rPr>
          <w:b/>
          <w:bCs/>
          <w:color w:val="333333"/>
          <w:sz w:val="24"/>
          <w:szCs w:val="24"/>
        </w:rPr>
        <w:t xml:space="preserve">2. Revisão Bibliográfica</w:t>
      </w:r>
    </w:p>
    <w:p>
      <w:pPr>
        <w:widowControl/>
        <w:spacing w:line="360" w:lineRule="auto"/>
        <w:jc w:val="both"/>
        <w:rPr>
          <w:color w:val="333333"/>
          <w:sz w:val="24"/>
          <w:szCs w:val="24"/>
        </w:rPr>
      </w:pPr>
      <w:r>
        <w:rPr>
          <w:color w:val="333333"/>
          <w:sz w:val="24"/>
          <w:szCs w:val="24"/>
        </w:rPr>
        <w:t xml:space="preserve">A presente seção reúne os fundamentos teóricos que sustentam o desenvolvimento do projeto, considerando produções científicas recentes (2021—2026) sobre a adoção de inteligência artificial (IA) generativa por estudantes universitários, os mecanismos de personalização de modelos de linguagem aplicados à educação e a gestão de materiais acadêmicos. Ao final, discute-se a relação entre a literatura mapeada e o problema central tratado neste trabalho.</w:t>
      </w:r>
    </w:p>
    <w:p>
      <w:pPr>
        <w:keepNext/>
        <w:keepLines/>
        <w:spacing w:line="360" w:lineRule="auto"/>
        <w:rPr>
          <w:b/>
          <w:bCs/>
          <w:color w:val="333333"/>
          <w:sz w:val="24"/>
          <w:szCs w:val="24"/>
        </w:rPr>
      </w:pPr>
      <w:r>
        <w:rPr>
          <w:b/>
          <w:bCs/>
          <w:color w:val="333333"/>
          <w:sz w:val="24"/>
          <w:szCs w:val="24"/>
        </w:rPr>
        <w:t xml:space="preserve">2.1. Inteligência artificial generativa no ensino superior</w:t>
      </w:r>
    </w:p>
    <w:p>
      <w:pPr>
        <w:widowControl/>
        <w:spacing w:line="360" w:lineRule="auto"/>
        <w:jc w:val="both"/>
        <w:rPr>
          <w:color w:val="333333"/>
          <w:sz w:val="24"/>
          <w:szCs w:val="24"/>
        </w:rPr>
      </w:pPr>
      <w:r>
        <w:rPr>
          <w:color w:val="333333"/>
          <w:sz w:val="24"/>
          <w:szCs w:val="24"/>
        </w:rPr>
        <w:t xml:space="preserve">Desde o lançamento público do ChatGPT, em novembro de 2022, observou-se rápida penetração de modelos de linguagem de larga escala (Large Language Models, LLMs) no cotidiano de estudantes universitários, com taxas de adoção entre 80% e 90% reportadas em diferentes contextos institucionais (Sirnoorkar; Rebello, 2025; Hao et al., 2025). Apesar da disseminação, a literatura é convergente ao apontar que a utilização sem treinamento em engenharia de prompts produz resultados subótimos: alunos tendem a formular perguntas genéricas e a obter respostas igualmente genéricas, desconectadas do material efetivamente trabalhado em sala (Beale, 2025; Herklotz et al., 2025).</w:t>
      </w:r>
    </w:p>
    <w:p>
      <w:pPr>
        <w:widowControl/>
        <w:spacing w:line="360" w:lineRule="auto"/>
        <w:jc w:val="both"/>
        <w:rPr>
          <w:color w:val="333333"/>
          <w:sz w:val="24"/>
          <w:szCs w:val="24"/>
        </w:rPr>
      </w:pPr>
      <w:r>
        <w:rPr>
          <w:color w:val="333333"/>
          <w:sz w:val="24"/>
          <w:szCs w:val="24"/>
        </w:rPr>
        <w:t xml:space="preserve">Beale (2025) descreve esse fenômeno como uma lacuna pedagógica: embora a tecnologia esteja amplamente acessível, sua eficácia depende da capacidade do usuário em fornecer contexto adequado, competência ainda escassa entre os estudantes. Em direção complementar, Herklotz et al. (2025), em análise de 2.389 instâncias de feedback gerado por LLMs em provas de estatística, identificaram que aproximadamente 7% dos retornos continham erros, sublinhando a necessidade de mecanismos de validação automática e de ancoragem em material curricular.</w:t>
      </w:r>
    </w:p>
    <w:p>
      <w:pPr>
        <w:keepNext/>
        <w:keepLines/>
        <w:spacing w:line="360" w:lineRule="auto"/>
        <w:rPr>
          <w:b/>
          <w:bCs/>
          <w:color w:val="333333"/>
          <w:sz w:val="24"/>
          <w:szCs w:val="24"/>
        </w:rPr>
      </w:pPr>
      <w:r>
        <w:rPr>
          <w:b/>
          <w:bCs/>
          <w:color w:val="333333"/>
          <w:sz w:val="24"/>
          <w:szCs w:val="24"/>
        </w:rPr>
        <w:t xml:space="preserve">2.2. Tutores inteligentes e RAG aplicados à educação</w:t>
      </w:r>
    </w:p>
    <w:p>
      <w:pPr>
        <w:widowControl/>
        <w:spacing w:line="360" w:lineRule="auto"/>
        <w:jc w:val="both"/>
        <w:rPr>
          <w:color w:val="333333"/>
          <w:sz w:val="24"/>
          <w:szCs w:val="24"/>
        </w:rPr>
      </w:pPr>
      <w:r>
        <w:rPr>
          <w:color w:val="333333"/>
          <w:sz w:val="24"/>
          <w:szCs w:val="24"/>
        </w:rPr>
        <w:t xml:space="preserve">A linha mais ativa de pesquisa combina LLMs com a técnica Retrieval-Augmented Generation (RAG), proposta por Lewis et al. (2020), que conecta modelos generativos a bases de conhecimento externas, mitigando alucinações e ancorando respostas em fontes verificáveis. Aplicações educacionais de RAG cresceram acentuadamente nos últimos dois anos. Ma, Martins e Lopes (2024), com o sistema RAGMan, alcançaram 98% de precisão em respostas pedagogicamente apropriadas em curso de programação com 455 alunos; Feng, Liu e Ghosal (2024), com o CourseAssist, registraram melhoria em acessibilidade de tutoria em seis disciplinas com mais de 500 estudantes.</w:t>
      </w:r>
    </w:p>
    <w:p>
      <w:pPr>
        <w:widowControl/>
        <w:spacing w:line="360" w:lineRule="auto"/>
        <w:jc w:val="both"/>
        <w:rPr>
          <w:color w:val="333333"/>
          <w:sz w:val="24"/>
          <w:szCs w:val="24"/>
        </w:rPr>
      </w:pPr>
      <w:r>
        <w:rPr>
          <w:color w:val="333333"/>
          <w:sz w:val="24"/>
          <w:szCs w:val="24"/>
        </w:rPr>
        <w:t xml:space="preserve">Sistemas como DeepTutor (Zhao et al., 2026), LeafTutor (Bochard et al., 2025) e Stan (Furst; Venkateshwaran, 2026) demonstram a viabilidade de tutores personalizados capazes de oferecer suporte com referências precisas aos materiais de cada curso. Yu et al. (2024), em estudo seminal sobre a transformação de MOOCs em ambientes denominados MAIC (Massive AI-empowered Courses), evidenciam que plataformas alimentadas por agentes baseados em LLMs aumentam significativamente o engajamento estudantil quando comparadas a soluções tradicionais.</w:t>
      </w:r>
    </w:p>
    <w:p>
      <w:pPr>
        <w:widowControl/>
        <w:spacing w:line="360" w:lineRule="auto"/>
        <w:jc w:val="both"/>
        <w:rPr>
          <w:color w:val="333333"/>
          <w:sz w:val="24"/>
          <w:szCs w:val="24"/>
        </w:rPr>
      </w:pPr>
      <w:r>
        <w:rPr>
          <w:color w:val="333333"/>
          <w:sz w:val="24"/>
          <w:szCs w:val="24"/>
        </w:rPr>
        <w:t xml:space="preserve">Cabe destacar que tais sistemas se apoiam, majoritariamente, em arquitetura fechada: o estudante interage com o tutor dentro da própria plataforma, sem que o conteúdo organizado permaneça disponível em outros contextos. Trabalhos comparativos, como o de Chen et al. (2025), que avalia RAG e GraphRAG sobre livros didáticos de matemática, e o de Tufino (2025), que explora o NotebookLM como tutor socrático em física, confirmam essa tendência de soluções encapsuladas em uma única plataforma.</w:t>
      </w:r>
    </w:p>
    <w:p>
      <w:pPr>
        <w:keepNext/>
        <w:keepLines/>
        <w:spacing w:line="360" w:lineRule="auto"/>
        <w:rPr>
          <w:b/>
          <w:bCs/>
          <w:color w:val="333333"/>
          <w:sz w:val="24"/>
          <w:szCs w:val="24"/>
        </w:rPr>
      </w:pPr>
      <w:r>
        <w:rPr>
          <w:b/>
          <w:bCs/>
          <w:color w:val="333333"/>
          <w:sz w:val="24"/>
          <w:szCs w:val="24"/>
        </w:rPr>
        <w:t xml:space="preserve">2.3. Lacunas identificadas e posicionamento do projeto</w:t>
      </w:r>
    </w:p>
    <w:p>
      <w:pPr>
        <w:widowControl/>
        <w:spacing w:line="360" w:lineRule="auto"/>
        <w:jc w:val="both"/>
        <w:rPr>
          <w:color w:val="333333"/>
          <w:sz w:val="24"/>
          <w:szCs w:val="24"/>
        </w:rPr>
      </w:pPr>
      <w:r>
        <w:rPr>
          <w:color w:val="333333"/>
          <w:sz w:val="24"/>
          <w:szCs w:val="24"/>
        </w:rPr>
        <w:t xml:space="preserve">Apesar do volume crescente de produções, três lacunas se evidenciam. Primeiro, os sistemas mapeados operam como plataformas fechadas, sem gerar artefato portátil que o estudante possa utilizar em qualquer LLM de sua preferência. Segundo, há produção escassa sobre pipelines que automatizam a etapa anterior à interação com a IA, isto é, a transformação de documentos brutos heterogêneos em material estruturado pronto para consumo. Terceiro, o contexto brasileiro está sub-representado na literatura internacional, ainda que o uso de IA generativa no ensino superior nacional seja igualmente expressivo (Sirnoorkar; Rebello, 2025; Hao et al., 2025).</w:t>
      </w:r>
    </w:p>
    <w:p>
      <w:pPr>
        <w:widowControl/>
        <w:spacing w:line="360" w:lineRule="auto"/>
        <w:jc w:val="both"/>
        <w:rPr>
          <w:color w:val="333333"/>
          <w:sz w:val="24"/>
          <w:szCs w:val="24"/>
        </w:rPr>
      </w:pPr>
      <w:r>
        <w:rPr>
          <w:color w:val="333333"/>
          <w:sz w:val="24"/>
          <w:szCs w:val="24"/>
        </w:rPr>
        <w:t xml:space="preserve">O projeto desenvolvido posiciona-se nessa interseção. Diferentemente dos tutores fechados mapeados, gera como saída um conjunto portátil composto por system prompt personalizado e materiais organizados no Google Drive do estudante, permitindo que ele utilize a IA de sua preferência (Claude, ChatGPT ou Gemini) com contexto curricular previamente estruturado. Trata-se, portanto, de proposta complementar à literatura existente, pois automatiza a fase de preparação de contexto que precede a interação com a IA generativa.</w:t>
      </w:r>
    </w:p>
    <w:p>
      <w:pPr>
        <w:keepNext/>
        <w:keepLines/>
        <w:spacing w:before="40" w:line="360" w:lineRule="auto"/>
        <w:rPr>
          <w:b/>
          <w:bCs/>
          <w:color w:val="333333"/>
          <w:sz w:val="24"/>
          <w:szCs w:val="24"/>
        </w:rPr>
      </w:pPr>
      <w:r>
        <w:rPr>
          <w:b/>
          <w:bCs/>
          <w:color w:val="333333"/>
          <w:sz w:val="24"/>
          <w:szCs w:val="24"/>
        </w:rPr>
        <w:t xml:space="preserve">3. Metodologia</w:t>
      </w:r>
    </w:p>
    <w:p>
      <w:pPr>
        <w:keepNext/>
        <w:keepLines/>
        <w:spacing w:line="360" w:lineRule="auto"/>
        <w:rPr>
          <w:b/>
          <w:bCs/>
          <w:color w:val="333333"/>
          <w:sz w:val="24"/>
          <w:szCs w:val="24"/>
        </w:rPr>
      </w:pPr>
      <w:r>
        <w:rPr>
          <w:b/>
          <w:bCs/>
          <w:color w:val="333333"/>
          <w:sz w:val="24"/>
          <w:szCs w:val="24"/>
        </w:rPr>
        <w:t xml:space="preserve">3.1. Caracterização da pesquisa</w:t>
      </w:r>
    </w:p>
    <w:p>
      <w:pPr>
        <w:widowControl/>
        <w:spacing w:line="360" w:lineRule="auto"/>
        <w:jc w:val="both"/>
        <w:rPr>
          <w:color w:val="333333"/>
          <w:sz w:val="24"/>
          <w:szCs w:val="24"/>
        </w:rPr>
      </w:pPr>
      <w:r>
        <w:rPr>
          <w:color w:val="333333"/>
          <w:sz w:val="24"/>
          <w:szCs w:val="24"/>
        </w:rPr>
        <w:t xml:space="preserve">Quanto à natureza, esta pesquisa classifica-se como aplicada, pois objetiva produzir conhecimento a partir do desenvolvimento de um artefato (sistema web) destinado a resolver um problema prático identificado no contexto universitário (Gil, 2019). Quanto à abordagem, adota-se método misto, combinando técnicas quantitativas (mensuração de tempo, taxas de acerto, escalas de usabilidade) e qualitativas (entrevistas semiestruturadas, análise de comentários abertos), conforme orientação de Creswell e Creswell (2021).</w:t>
      </w:r>
    </w:p>
    <w:p>
      <w:pPr>
        <w:widowControl/>
        <w:spacing w:line="360" w:lineRule="auto"/>
        <w:jc w:val="both"/>
        <w:rPr>
          <w:color w:val="333333"/>
          <w:sz w:val="24"/>
          <w:szCs w:val="24"/>
        </w:rPr>
      </w:pPr>
      <w:r>
        <w:rPr>
          <w:color w:val="333333"/>
          <w:sz w:val="24"/>
          <w:szCs w:val="24"/>
        </w:rPr>
        <w:t xml:space="preserve">Quanto aos objetivos, a pesquisa configura-se como exploratório-descritiva na fase de desenvolvimento do protótipo e avaliativa na fase de testes com usuários. O método adotado é a Design Science Research (DSR), reconhecido como referência para pesquisas que produzem artefatos tecnológicos com contribuição teórica e prática (Hevner et al., 2004; Peffers et al., 2007; Dresch; Lacerda; Antunes Jr., 2015). A DSR foi escolhida por aderir à natureza do projeto: desenvolvimento de solução tecnológica orientada por problema real e validada com usuários.</w:t>
      </w:r>
    </w:p>
    <w:p>
      <w:pPr>
        <w:widowControl/>
        <w:spacing w:line="360" w:lineRule="auto"/>
        <w:jc w:val="both"/>
        <w:rPr>
          <w:color w:val="333333"/>
          <w:sz w:val="24"/>
          <w:szCs w:val="24"/>
        </w:rPr>
      </w:pPr>
      <w:r>
        <w:rPr>
          <w:color w:val="333333"/>
          <w:sz w:val="24"/>
          <w:szCs w:val="24"/>
        </w:rPr>
        <w:t xml:space="preserve">A população-alvo do estudo são estudantes de graduação da Universidade de Brasília (UnB) que utilizam regularmente plataformas de IA generativa para fins acadêmicos. A amostra prevista para a avaliação, definida por conveniência, é de dez participantes distribuídos em diferentes cursos, com predomínio inicial em Engenharia de Produção. Trata-se de amostra exploratória, destinada a validar a viabilidade do artefato, sem pretensão de generalização estatística (Dresch; Lacerda; Antunes Jr., 2015).</w:t>
      </w:r>
    </w:p>
    <w:p>
      <w:pPr>
        <w:keepNext/>
        <w:keepLines/>
        <w:spacing w:line="360" w:lineRule="auto"/>
        <w:rPr>
          <w:b/>
          <w:bCs/>
          <w:color w:val="333333"/>
          <w:sz w:val="24"/>
          <w:szCs w:val="24"/>
        </w:rPr>
      </w:pPr>
      <w:r>
        <w:rPr>
          <w:b/>
          <w:bCs/>
          <w:color w:val="333333"/>
          <w:sz w:val="24"/>
          <w:szCs w:val="24"/>
        </w:rPr>
        <w:t xml:space="preserve">3.2. Contexto do estudo e participantes</w:t>
      </w:r>
    </w:p>
    <w:p>
      <w:pPr>
        <w:widowControl/>
        <w:spacing w:line="360" w:lineRule="auto"/>
        <w:jc w:val="both"/>
        <w:rPr>
          <w:color w:val="333333"/>
          <w:sz w:val="24"/>
          <w:szCs w:val="24"/>
        </w:rPr>
      </w:pPr>
      <w:r>
        <w:rPr>
          <w:color w:val="333333"/>
          <w:sz w:val="24"/>
          <w:szCs w:val="24"/>
        </w:rPr>
        <w:t xml:space="preserve">O estudo ocorre no contexto da disciplina Projeto de Sistemas de Produção 2 (PSP2), ofertada no sexto semestre do curso de Engenharia de Produção da UnB, no período letivo 2026.1. Os participantes da avaliação serão estudantes voluntários da UnB, recrutados via divulgação em redes sociais acadêmicas, mediante assinatura de Termo de Consentimento Livre e Esclarecido (TCLE) e garantia de anonimização das contribuições. Documentos enviados durante os testes não são compartilhados além do pipeline de processamento; o isolamento é garantido por políticas de segurança em nível de linha (Row Level Security) aplicadas no banco de dados.</w:t>
      </w:r>
    </w:p>
    <w:p>
      <w:pPr>
        <w:keepNext/>
        <w:keepLines/>
        <w:spacing w:line="360" w:lineRule="auto"/>
        <w:rPr>
          <w:b/>
          <w:bCs/>
          <w:color w:val="333333"/>
          <w:sz w:val="24"/>
          <w:szCs w:val="24"/>
        </w:rPr>
      </w:pPr>
      <w:r>
        <w:rPr>
          <w:b/>
          <w:bCs/>
          <w:color w:val="333333"/>
          <w:sz w:val="24"/>
          <w:szCs w:val="24"/>
        </w:rPr>
        <w:t xml:space="preserve">3.3. Procedimentos metodológicos</w:t>
      </w:r>
    </w:p>
    <w:p>
      <w:pPr>
        <w:widowControl/>
        <w:spacing w:line="360" w:lineRule="auto"/>
        <w:jc w:val="both"/>
        <w:rPr>
          <w:color w:val="333333"/>
          <w:sz w:val="24"/>
          <w:szCs w:val="24"/>
        </w:rPr>
      </w:pPr>
      <w:r>
        <w:rPr>
          <w:color w:val="333333"/>
          <w:sz w:val="24"/>
          <w:szCs w:val="24"/>
        </w:rPr>
        <w:t xml:space="preserve">O projeto está estruturado em quatro sprints de aproximadamente três semanas cada, mapeadas às seis atividades da Design Science Research Methodology (DSRM) proposta por Peffers et al. (2007): (i) identificação do problema; (ii) definição dos objetivos do artefato; (iii) projeto e desenvolvimento; (iv) demonstração; (v) avaliação; e (vi) comunicação. As atividades (i) e (ii) correspondem ao diagnóstico apresentado na Seção 1 e à definição do backlog do produto. As atividades (iii) e (iv) abrangem o desenvolvimento e a demonstração do protótipo. A atividade (v), de avaliação, prevê a validação técnica do pipeline em documentos-teste e a avaliação com dez estudantes da UnB; sua execução, contudo, ficou condicionada à disponibilização pública do sistema, não concluída neste ciclo (ver Seção 5). A atividade (vi) corresponde ao presente artigo, à apresentação final e ao pacote de entrega.</w:t>
      </w:r>
    </w:p>
    <w:p>
      <w:pPr>
        <w:keepNext/>
        <w:keepLines/>
        <w:spacing w:line="360" w:lineRule="auto"/>
        <w:rPr>
          <w:b/>
          <w:bCs/>
          <w:color w:val="333333"/>
          <w:sz w:val="24"/>
          <w:szCs w:val="24"/>
        </w:rPr>
      </w:pPr>
      <w:r>
        <w:rPr>
          <w:b/>
          <w:bCs/>
          <w:color w:val="333333"/>
          <w:sz w:val="24"/>
          <w:szCs w:val="24"/>
        </w:rPr>
        <w:t xml:space="preserve">3.4. Coleta de dados e instrumentos</w:t>
      </w:r>
    </w:p>
    <w:p>
      <w:pPr>
        <w:widowControl/>
        <w:spacing w:line="360" w:lineRule="auto"/>
        <w:jc w:val="both"/>
        <w:rPr>
          <w:color w:val="333333"/>
          <w:sz w:val="24"/>
          <w:szCs w:val="24"/>
        </w:rPr>
      </w:pPr>
      <w:r>
        <w:rPr>
          <w:color w:val="333333"/>
          <w:sz w:val="24"/>
          <w:szCs w:val="24"/>
        </w:rPr>
        <w:t xml:space="preserve">A coleta de dados ocorre em duas frentes complementares. A primeira é a avaliação técnica do artefato (DSRM, atividade 5, parte 1), prevista para 50 documentos-teste distribuídos em cinco formatos (PDF, DOCX, PPTX, imagens e Markdown), a serem submetidos ao pipeline em ambiente controlado. As métricas a registrar são taxa de classificação correta, taxa de aprovação na validação semântica em quatro camadas (estrutural, quantitativa, semântica e LLM-as-judge), custo médio por documento (em dólar) e latência observada nos percentis 50 e 95.</w:t>
      </w:r>
    </w:p>
    <w:p>
      <w:pPr>
        <w:widowControl/>
        <w:spacing w:line="360" w:lineRule="auto"/>
        <w:jc w:val="both"/>
        <w:rPr>
          <w:color w:val="333333"/>
          <w:sz w:val="24"/>
          <w:szCs w:val="24"/>
        </w:rPr>
      </w:pPr>
      <w:r>
        <w:rPr>
          <w:color w:val="333333"/>
          <w:sz w:val="24"/>
          <w:szCs w:val="24"/>
        </w:rPr>
        <w:t xml:space="preserve">A segunda frente é a avaliação com usuários (DSRM, atividade 5, parte 2), prevista para sessões individuais de aproximadamente 60 minutos, realizadas remotamente. Cada participante executaria o seguinte roteiro: cadastro no sistema; onboarding (preenchimento de curso, semestre, matérias e horários); upload de três documentos próprios; revisão dos arquivos sintetizados; e utilização do system prompt gerado em uma plataforma de IA de sua escolha. Ao final da sessão, seriam aplicados os instrumentos descritos a seguir:</w:t>
      </w:r>
    </w:p>
    <w:p>
      <w:pPr>
        <w:widowControl/>
        <w:spacing w:line="360" w:lineRule="auto"/>
        <w:ind w:left="720" w:hanging="360"/>
        <w:jc w:val="both"/>
        <w:rPr>
          <w:color w:val="333333"/>
          <w:sz w:val="24"/>
          <w:szCs w:val="24"/>
        </w:rPr>
      </w:pPr>
      <w:r>
        <w:rPr>
          <w:color w:val="333333"/>
          <w:sz w:val="24"/>
          <w:szCs w:val="24"/>
        </w:rPr>
        <w:t xml:space="preserve">a) escala System Usability Scale, composta por dez itens em escala Likert de cinco pontos, com pontuação final no intervalo de 0 a 100, amplamente validada para avaliação de usabilidade (Brooke, 1996; Bangor; Kortum; Miller, 2008);</w:t>
      </w:r>
    </w:p>
    <w:p>
      <w:pPr>
        <w:widowControl/>
        <w:spacing w:line="360" w:lineRule="auto"/>
        <w:ind w:left="720" w:hanging="360"/>
        <w:jc w:val="both"/>
        <w:rPr>
          <w:color w:val="333333"/>
          <w:sz w:val="24"/>
          <w:szCs w:val="24"/>
        </w:rPr>
      </w:pPr>
      <w:r>
        <w:rPr>
          <w:color w:val="333333"/>
          <w:sz w:val="24"/>
          <w:szCs w:val="24"/>
        </w:rPr>
        <w:t xml:space="preserve">b) questionário baseado no Technology Acceptance Model, com itens sobre Utilidade Percebida e Facilidade de Uso Percebida (Davis, 1989; Venkatesh; Davis, 2000);</w:t>
      </w:r>
    </w:p>
    <w:p>
      <w:pPr>
        <w:widowControl/>
        <w:spacing w:line="360" w:lineRule="auto"/>
        <w:ind w:left="720" w:hanging="360"/>
        <w:jc w:val="both"/>
        <w:rPr>
          <w:color w:val="333333"/>
          <w:sz w:val="24"/>
          <w:szCs w:val="24"/>
        </w:rPr>
      </w:pPr>
      <w:r>
        <w:rPr>
          <w:color w:val="333333"/>
          <w:sz w:val="24"/>
          <w:szCs w:val="24"/>
        </w:rPr>
        <w:t xml:space="preserve">c) comparativo cronometrado entre o processo manual de organização de materiais e o uso do sistema, mensurando a redução percentual de tempo;</w:t>
      </w:r>
    </w:p>
    <w:p>
      <w:pPr>
        <w:widowControl/>
        <w:spacing w:line="360" w:lineRule="auto"/>
        <w:ind w:left="720" w:hanging="360"/>
        <w:jc w:val="both"/>
        <w:rPr>
          <w:color w:val="333333"/>
          <w:sz w:val="24"/>
          <w:szCs w:val="24"/>
        </w:rPr>
      </w:pPr>
      <w:r>
        <w:rPr>
          <w:color w:val="333333"/>
          <w:sz w:val="24"/>
          <w:szCs w:val="24"/>
        </w:rPr>
        <w:t xml:space="preserve">d) entrevista semiestruturada com perguntas abertas sobre intenção de uso continuado e sugestões de melhoria.</w:t>
      </w:r>
    </w:p>
    <w:p>
      <w:pPr>
        <w:keepNext/>
        <w:keepLines/>
        <w:spacing w:line="360" w:lineRule="auto"/>
        <w:rPr>
          <w:b/>
          <w:bCs/>
          <w:color w:val="333333"/>
          <w:sz w:val="24"/>
          <w:szCs w:val="24"/>
        </w:rPr>
      </w:pPr>
      <w:r>
        <w:rPr>
          <w:b/>
          <w:bCs/>
          <w:color w:val="333333"/>
          <w:sz w:val="24"/>
          <w:szCs w:val="24"/>
        </w:rPr>
        <w:t xml:space="preserve">3.5. Análise de dados e métricas</w:t>
      </w:r>
    </w:p>
    <w:p>
      <w:pPr>
        <w:widowControl/>
        <w:spacing w:line="360" w:lineRule="auto"/>
        <w:jc w:val="both"/>
        <w:rPr>
          <w:color w:val="333333"/>
          <w:sz w:val="24"/>
          <w:szCs w:val="24"/>
        </w:rPr>
      </w:pPr>
      <w:r>
        <w:rPr>
          <w:color w:val="333333"/>
          <w:sz w:val="24"/>
          <w:szCs w:val="24"/>
        </w:rPr>
        <w:t xml:space="preserve">Os dados quantitativos são analisados por estatística descritiva (média, mediana, desvio-padrão e percentis 50 e 95), considerando-se como critérios de aceitação: (i) taxa de classificação correta maior ou igual a 80% nos documentos-teste; (ii) pontuação SUS maior ou igual a 70, patamar associado a usabilidade boa segundo Bangor, Kortum e Miller (2008); (iii) índice de satisfação maior ou igual a 70% no questionário pós-uso; e (iv) redução maior ou igual a 50% no tempo de organização quando comparada ao processo manual.</w:t>
      </w:r>
    </w:p>
    <w:p>
      <w:pPr>
        <w:widowControl/>
        <w:spacing w:line="360" w:lineRule="auto"/>
        <w:jc w:val="both"/>
        <w:rPr>
          <w:color w:val="333333"/>
          <w:sz w:val="24"/>
          <w:szCs w:val="24"/>
        </w:rPr>
      </w:pPr>
      <w:r>
        <w:rPr>
          <w:color w:val="333333"/>
          <w:sz w:val="24"/>
          <w:szCs w:val="24"/>
        </w:rPr>
        <w:t xml:space="preserve">Os dados qualitativos provenientes das entrevistas semiestruturadas são submetidos à análise de conteúdo (Bardin, 2011), com codificação em categorias temáticas emergentes. As limitações metodológicas reconhecidas são o tamanho reduzido da amostra, a seleção por conveniência e o recorte institucional restrito à UnB, fatores que conferem caráter exploratório aos achados e demandam estudos posteriores com amostra ampliada para a confirmação estatística dos resultados.</w:t>
      </w:r>
    </w:p>
    <w:p>
      <w:pPr>
        <w:keepNext/>
        <w:keepLines/>
        <w:spacing w:before="40" w:line="360" w:lineRule="auto"/>
        <w:rPr>
          <w:b/>
          <w:bCs/>
          <w:color w:val="333333"/>
          <w:sz w:val="24"/>
          <w:szCs w:val="24"/>
        </w:rPr>
      </w:pPr>
      <w:r>
        <w:rPr>
          <w:b/>
          <w:bCs/>
          <w:color w:val="333333"/>
          <w:sz w:val="24"/>
          <w:szCs w:val="24"/>
        </w:rPr>
        <w:t xml:space="preserve">4. Desenvolvimento do artefato</w:t>
      </w:r>
    </w:p>
    <w:p>
      <w:pPr>
        <w:widowControl/>
        <w:spacing w:line="360" w:lineRule="auto"/>
        <w:jc w:val="both"/>
        <w:rPr>
          <w:color w:val="333333"/>
          <w:sz w:val="24"/>
          <w:szCs w:val="24"/>
        </w:rPr>
      </w:pPr>
      <w:r>
        <w:rPr>
          <w:color w:val="333333"/>
          <w:sz w:val="24"/>
          <w:szCs w:val="24"/>
        </w:rPr>
        <w:t xml:space="preserve">Esta seção apresenta o artefato desenvolvido, descrevendo a arquitetura da solução, o pipeline de processamento de documentos, o mecanismo de validação em quatro camadas e a estratégia de geração do conjunto portátil de saídas que caracteriza a contribuição distinta do projeto em relação à literatura mapeada.</w:t>
      </w:r>
    </w:p>
    <w:p>
      <w:pPr>
        <w:keepNext/>
        <w:keepLines/>
        <w:spacing w:line="360" w:lineRule="auto"/>
        <w:rPr>
          <w:b/>
          <w:bCs/>
          <w:color w:val="333333"/>
          <w:sz w:val="24"/>
          <w:szCs w:val="24"/>
        </w:rPr>
      </w:pPr>
      <w:r>
        <w:rPr>
          <w:b/>
          <w:bCs/>
          <w:color w:val="333333"/>
          <w:sz w:val="24"/>
          <w:szCs w:val="24"/>
        </w:rPr>
        <w:t xml:space="preserve">4.1. Arquitetura da solução</w:t>
      </w:r>
    </w:p>
    <w:p>
      <w:pPr>
        <w:widowControl/>
        <w:spacing w:line="360" w:lineRule="auto"/>
        <w:jc w:val="both"/>
        <w:rPr>
          <w:color w:val="333333"/>
          <w:sz w:val="24"/>
          <w:szCs w:val="24"/>
        </w:rPr>
      </w:pPr>
      <w:r>
        <w:rPr>
          <w:color w:val="333333"/>
          <w:sz w:val="24"/>
          <w:szCs w:val="24"/>
        </w:rPr>
        <w:t xml:space="preserve">A solução adota arquitetura web em três camadas. A camada de apresentação foi implementada como aplicação de página única (Single Page Application) com Vite, React 19 e TypeScript, hospedada na plataforma Vercel. A camada de aplicação foi construída sobre Supabase Edge Functions, executadas em ambiente Deno, com tempo máximo de execução de 60 segundos por chamada — restrição que motivou a adoção de pipeline assíncrono, com o trabalho efetivo realizado em segundo plano e o status do processamento sendo entregue ao cliente via protocolo Realtime do PostgreSQL. A camada de persistência utiliza PostgreSQL gerenciado pela Supabase, com Row Level Security ativo em todas as tabelas que armazenam dados do usuário, garantindo o isolamento das informações.</w:t>
      </w:r>
    </w:p>
    <w:p>
      <w:pPr>
        <w:widowControl/>
        <w:spacing w:line="360" w:lineRule="auto"/>
        <w:jc w:val="both"/>
        <w:rPr>
          <w:color w:val="333333"/>
          <w:sz w:val="24"/>
          <w:szCs w:val="24"/>
        </w:rPr>
      </w:pPr>
      <w:r>
        <w:rPr>
          <w:color w:val="333333"/>
          <w:sz w:val="24"/>
          <w:szCs w:val="24"/>
        </w:rPr>
        <w:t xml:space="preserve">O modelo de linguagem é acessado por meio do agregador OpenRouter, permitindo intercambiar provedores (Anthropic, OpenAI, Google) por variáveis de configuração, sem alteração de código. Essa escolha técnica preserva flexibilidade frente à evolução acelerada do mercado de LLMs e habilita comparações experimentais entre modelos. A integração com o Google Drive ocorre por meio de OAuth 2.0 com escopo restrito (drive.file), princípio do menor privilégio que garante acesso apenas às pastas criadas pela própria aplicação, sem expor o restante do Drive do estudante.</w:t>
      </w:r>
    </w:p>
    <w:p>
      <w:pPr>
        <w:keepNext/>
        <w:keepLines/>
        <w:spacing w:line="360" w:lineRule="auto"/>
        <w:rPr>
          <w:b/>
          <w:bCs/>
          <w:color w:val="333333"/>
          <w:sz w:val="24"/>
          <w:szCs w:val="24"/>
        </w:rPr>
      </w:pPr>
      <w:r>
        <w:rPr>
          <w:b/>
          <w:bCs/>
          <w:color w:val="333333"/>
          <w:sz w:val="24"/>
          <w:szCs w:val="24"/>
        </w:rPr>
        <w:t xml:space="preserve">4.2. Pipeline de processamento</w:t>
      </w:r>
    </w:p>
    <w:p>
      <w:pPr>
        <w:widowControl/>
        <w:spacing w:line="360" w:lineRule="auto"/>
        <w:jc w:val="both"/>
        <w:rPr>
          <w:color w:val="333333"/>
          <w:sz w:val="24"/>
          <w:szCs w:val="24"/>
        </w:rPr>
      </w:pPr>
      <w:r>
        <w:rPr>
          <w:color w:val="333333"/>
          <w:sz w:val="24"/>
          <w:szCs w:val="24"/>
        </w:rPr>
        <w:t xml:space="preserve">O processamento de cada documento percorre cinco estágios sequenciais. No primeiro estágio, denominado parsing, o sistema aceita cinco formatos heterogêneos (PDF, DOCX, PPTX, Markdown e imagens), utilizando bibliotecas TypeScript específicas para documentos textuais e estruturados e modelo de linguagem com capacidade de visão para imagens. O resultado é texto bruto unificado, que alimenta os estágios seguintes.</w:t>
      </w:r>
    </w:p>
    <w:p>
      <w:pPr>
        <w:widowControl/>
        <w:spacing w:line="360" w:lineRule="auto"/>
        <w:jc w:val="both"/>
        <w:rPr>
          <w:color w:val="333333"/>
          <w:sz w:val="24"/>
          <w:szCs w:val="24"/>
        </w:rPr>
      </w:pPr>
      <w:r>
        <w:rPr>
          <w:color w:val="333333"/>
          <w:sz w:val="24"/>
          <w:szCs w:val="24"/>
        </w:rPr>
        <w:t xml:space="preserve">No segundo estágio, de classificação, o texto bruto é submetido ao primeiro modelo LLM, responsável por identificar matéria, tipo de documento (aula, lista, prova, slide, entre outros), data e título. A saída é estruturada via biblioteca Zod e inclui indicador de confiança (intervalo de 0 a 1). Quando a confiança é inferior a 0,4, o documento é encaminhado para revisão manual; entre 0,4 e 0,7, o sistema solicita confirmação ao usuário; valores acima de 0,7 seguem automaticamente para os estágios subsequentes.</w:t>
      </w:r>
    </w:p>
    <w:p>
      <w:pPr>
        <w:widowControl/>
        <w:spacing w:line="360" w:lineRule="auto"/>
        <w:jc w:val="both"/>
        <w:rPr>
          <w:color w:val="333333"/>
          <w:sz w:val="24"/>
          <w:szCs w:val="24"/>
        </w:rPr>
      </w:pPr>
      <w:r>
        <w:rPr>
          <w:color w:val="333333"/>
          <w:sz w:val="24"/>
          <w:szCs w:val="24"/>
        </w:rPr>
        <w:t xml:space="preserve">No terceiro estágio, o texto bruto é submetido ao prompt de síntese, enriquecido com o contexto da classificação e do perfil do estudante (matérias cadastradas e semestre vigente). A saída é um documento em Markdown com cabeçalho fixo, fórmulas em LaTeX preservadas, tabelas estruturadas e seção dedicada a erros comuns. A taxa de compressão típica situa-se entre 20% e 50% em relação ao texto original.</w:t>
      </w:r>
    </w:p>
    <w:p>
      <w:pPr>
        <w:widowControl/>
        <w:spacing w:line="360" w:lineRule="auto"/>
        <w:jc w:val="both"/>
        <w:rPr>
          <w:color w:val="333333"/>
          <w:sz w:val="24"/>
          <w:szCs w:val="24"/>
        </w:rPr>
      </w:pPr>
      <w:r>
        <w:rPr>
          <w:color w:val="333333"/>
          <w:sz w:val="24"/>
          <w:szCs w:val="24"/>
        </w:rPr>
        <w:t xml:space="preserve">No quarto estágio, de compressão, a síntese é submetida a dois modos adicionais de redução. O modo compacto produz versão entre 50% e 70% do tamanho da síntese, indicada para revisão; o modo cola produz versão entre 15% e 25%, restrita a fórmulas, tabelas e bullets, indicada para consulta rápida em situação de prova. Ambos os modos compartilham o mesmo template, parametrizado pelo limite de compressão. No quinto e último estágio, o documento recebe nome padronizado no formato MATÉRIA - Tipo - Identificador Título.extensão e é exportado ao Google Drive do estudante em estrutura hierárquica por semestre e matéria.</w:t>
      </w:r>
    </w:p>
    <w:p>
      <w:pPr>
        <w:keepNext/>
        <w:keepLines/>
        <w:spacing w:line="360" w:lineRule="auto"/>
        <w:rPr>
          <w:b/>
          <w:bCs/>
          <w:color w:val="333333"/>
          <w:sz w:val="24"/>
          <w:szCs w:val="24"/>
        </w:rPr>
      </w:pPr>
      <w:r>
        <w:rPr>
          <w:b/>
          <w:bCs/>
          <w:color w:val="333333"/>
          <w:sz w:val="24"/>
          <w:szCs w:val="24"/>
        </w:rPr>
        <w:t xml:space="preserve">4.3. Validação em quatro camadas</w:t>
      </w:r>
    </w:p>
    <w:p>
      <w:pPr>
        <w:widowControl/>
        <w:spacing w:line="360" w:lineRule="auto"/>
        <w:jc w:val="both"/>
        <w:rPr>
          <w:color w:val="333333"/>
          <w:sz w:val="24"/>
          <w:szCs w:val="24"/>
        </w:rPr>
      </w:pPr>
      <w:r>
        <w:rPr>
          <w:color w:val="333333"/>
          <w:sz w:val="24"/>
          <w:szCs w:val="24"/>
        </w:rPr>
        <w:t xml:space="preserve">Para garantir a qualidade dos outputs sem revisão manual exaustiva, foi implementado mecanismo de validação composto por quatro camadas executadas em ordem crescente de custo computacional. A primeira camada, estrutural, verifica conformidade com o schema Zod esperado, rejeitando imediatamente saídas com formato incorreto. A segunda camada, quantitativa, confere métricas objetivas (tamanho do output, número de fórmulas preservadas, número de seções identificadas). A terceira camada, semântica, extrai palavras-chave do documento original e verifica sua presença na síntese, computando índice de retenção semântica. A quarta camada, denominada LLM-as-judge, submete o output a um segundo modelo de linguagem, distinto do utilizado na síntese, que atribui nota de 0 a 10 com justificativa textual.</w:t>
      </w:r>
    </w:p>
    <w:p>
      <w:pPr>
        <w:widowControl/>
        <w:spacing w:line="360" w:lineRule="auto"/>
        <w:jc w:val="both"/>
        <w:rPr>
          <w:color w:val="333333"/>
          <w:sz w:val="24"/>
          <w:szCs w:val="24"/>
        </w:rPr>
      </w:pPr>
      <w:r>
        <w:rPr>
          <w:color w:val="333333"/>
          <w:sz w:val="24"/>
          <w:szCs w:val="24"/>
        </w:rPr>
        <w:t xml:space="preserve">A combinação das camadas estabelece três decisões possíveis: aprovação, retentativa (com prompt ajustado) ou marcação para revisão pelo usuário. Outputs aprovados são entregues automaticamente; retentativas ocorrem em até duas iterações antes de o documento ser marcado como falha, evitando custo computacional excessivo em casos limítrofes.</w:t>
      </w:r>
    </w:p>
    <w:p>
      <w:pPr>
        <w:keepNext/>
        <w:keepLines/>
        <w:spacing w:line="360" w:lineRule="auto"/>
        <w:rPr>
          <w:b/>
          <w:bCs/>
          <w:color w:val="333333"/>
          <w:sz w:val="24"/>
          <w:szCs w:val="24"/>
        </w:rPr>
      </w:pPr>
      <w:r>
        <w:rPr>
          <w:b/>
          <w:bCs/>
          <w:color w:val="333333"/>
          <w:sz w:val="24"/>
          <w:szCs w:val="24"/>
        </w:rPr>
        <w:t xml:space="preserve">4.4. Geração do artefato portátil</w:t>
      </w:r>
    </w:p>
    <w:p>
      <w:pPr>
        <w:widowControl/>
        <w:spacing w:line="360" w:lineRule="auto"/>
        <w:jc w:val="both"/>
        <w:rPr>
          <w:color w:val="333333"/>
          <w:sz w:val="24"/>
          <w:szCs w:val="24"/>
        </w:rPr>
      </w:pPr>
      <w:r>
        <w:rPr>
          <w:color w:val="333333"/>
          <w:sz w:val="24"/>
          <w:szCs w:val="24"/>
        </w:rPr>
        <w:t xml:space="preserve">Diferentemente das soluções fechadas identificadas na revisão bibliográfica (Ma; Martins; Lopes, 2024; Feng; Liu; Ghosal, 2024; Zhao et al., 2026), o sistema gera como saída um conjunto de artefatos portáteis. O primeiro é a estrutura hierárquica de pastas no Google Drive do estudante, organizada por semestre e matéria, com todos os documentos processados nomeados de forma padronizada. O segundo é um system prompt personalizado, composto a partir das matérias cadastradas, dos documentos processados e dos prompts da biblioteca interna do sistema. Esse system prompt pode ser inserido diretamente em Custom GPTs, Claude Projects ou Gemini Gems, transformando qualquer LLM comercial em um assistente calibrado para o contexto curricular específico do estudante.</w:t>
      </w:r>
    </w:p>
    <w:p>
      <w:pPr>
        <w:widowControl/>
        <w:spacing w:line="360" w:lineRule="auto"/>
        <w:jc w:val="both"/>
        <w:rPr>
          <w:color w:val="333333"/>
          <w:sz w:val="24"/>
          <w:szCs w:val="24"/>
        </w:rPr>
      </w:pPr>
      <w:r>
        <w:rPr>
          <w:color w:val="333333"/>
          <w:sz w:val="24"/>
          <w:szCs w:val="24"/>
        </w:rPr>
        <w:t xml:space="preserve">A biblioteca interna contempla oito prompts oficiais para tarefas acadêmicas recorrentes (resumo de aula, geração de questões de revisão, explicação simplificada, comparação entre conceitos, resolução de exercícios passo a passo, fichamento de capítulo, estudo dirigido e quiz pré-prova). Os prompts são disponibilizados a todos os usuários e podem ser copiados para uso externo, mantendo a portabilidade característica da proposta.</w:t>
      </w:r>
    </w:p>
    <w:p>
      <w:pPr>
        <w:keepNext/>
        <w:keepLines/>
        <w:spacing w:before="40" w:line="360" w:lineRule="auto"/>
        <w:rPr>
          <w:b/>
          <w:bCs/>
          <w:color w:val="333333"/>
          <w:sz w:val="24"/>
          <w:szCs w:val="24"/>
        </w:rPr>
      </w:pPr>
      <w:r>
        <w:rPr>
          <w:b/>
          <w:bCs/>
          <w:color w:val="333333"/>
          <w:sz w:val="24"/>
          <w:szCs w:val="24"/>
        </w:rPr>
        <w:t xml:space="preserve">5. Resultados e Discussão</w:t>
      </w:r>
    </w:p>
    <w:p>
      <w:pPr>
        <w:widowControl/>
        <w:spacing w:line="360" w:lineRule="auto"/>
        <w:jc w:val="both"/>
        <w:rPr>
          <w:color w:val="333333"/>
          <w:sz w:val="24"/>
          <w:szCs w:val="24"/>
        </w:rPr>
      </w:pPr>
      <w:r>
        <w:rPr>
          <w:color w:val="333333"/>
          <w:sz w:val="24"/>
          <w:szCs w:val="24"/>
        </w:rPr>
        <w:t xml:space="preserve">Esta seção apresenta os resultados deste ciclo do projeto. Em coerência com o método Design Science Research, o principal resultado é o próprio artefato construído e demonstrado (5.1); na sequência, descreve-se o protocolo de avaliação técnica e com usuários, cuja execução permaneceu pendente ao fim do ciclo (5.2), e discutem-se as contribuições à luz da literatura revisada (5.3).</w:t>
      </w:r>
    </w:p>
    <w:p>
      <w:pPr>
        <w:keepNext/>
        <w:keepLines/>
        <w:spacing w:line="360" w:lineRule="auto"/>
        <w:rPr>
          <w:b/>
          <w:bCs/>
          <w:color w:val="333333"/>
          <w:sz w:val="24"/>
          <w:szCs w:val="24"/>
        </w:rPr>
      </w:pPr>
      <w:r>
        <w:rPr>
          <w:b/>
          <w:bCs/>
          <w:color w:val="333333"/>
          <w:sz w:val="24"/>
          <w:szCs w:val="24"/>
        </w:rPr>
        <w:t xml:space="preserve">5.1. Artefato desenvolvido e demonstração funcional</w:t>
      </w:r>
    </w:p>
    <w:p>
      <w:pPr>
        <w:widowControl/>
        <w:spacing w:line="360" w:lineRule="auto"/>
        <w:jc w:val="both"/>
        <w:rPr>
          <w:color w:val="333333"/>
          <w:sz w:val="24"/>
          <w:szCs w:val="24"/>
        </w:rPr>
      </w:pPr>
      <w:r>
        <w:rPr>
          <w:color w:val="333333"/>
          <w:sz w:val="24"/>
          <w:szCs w:val="24"/>
        </w:rPr>
        <w:t xml:space="preserve">O principal resultado deste ciclo é o próprio artefato. Foi desenvolvido um protótipo funcional que percorre, de ponta a ponta, o fluxo de ingestão, classificação, síntese, compressão e exportação de documentos acadêmicos, conforme descrito na Seção 4. Em ambiente de desenvolvimento, o sistema foi demonstrado processando documentos nos cinco formatos suportados e gerando o conjunto portátil de saídas que caracteriza a proposta — Markdown sintetizado, organizado em pastas, e system prompt personalizado. A Tabela 1 sintetiza os componentes implementados e seu estado.</w:t>
      </w:r>
    </w:p>
    <w:p>
      <w:pPr>
        <w:spacing w:line="360" w:lineRule="auto"/>
        <w:jc w:val="center"/>
        <w:rPr>
          <w:color w:val="333333"/>
          <w:sz w:val="20"/>
          <w:szCs w:val="20"/>
        </w:rPr>
      </w:pPr>
      <w:r>
        <w:rPr>
          <w:color w:val="333333"/>
          <w:sz w:val="20"/>
          <w:szCs w:val="20"/>
        </w:rPr>
        <w:t xml:space="preserve">Tabela 1 – Componentes do artefato e estado de implementação</w:t>
      </w:r>
    </w:p>
    <w:tbl>
      <w:tblPr>
        <w:tblW w:w="9000" w:type="dxa"/>
        <w:jc w:val="center"/>
        <w:tblLayout w:type="fixed"/>
        <w:tblLook w:val="04A0"/>
      </w:tblPr>
      <w:tblGrid>
        <w:gridCol w:w="2700"/>
        <w:gridCol w:w="4800"/>
        <w:gridCol w:w="1500"/>
      </w:tblGrid>
      <w:tr>
        <w:tc>
          <w:tcPr>
            <w:tcW w:w="2700" w:type="dxa"/>
            <w:tcBorders>
              <w:top w:val="single" w:sz="4" w:color="333333"/>
              <w:start w:val="single" w:sz="4" w:color="333333"/>
              <w:bottom w:val="single" w:sz="4" w:color="333333"/>
              <w:end w:val="single" w:sz="4" w:color="333333"/>
            </w:tcBorders>
            <w:shd w:val="clear" w:color="auto" w:fill="E6E6E6"/>
            <w:tcMar>
              <w:top w:w="60" w:type="dxa"/>
              <w:start w:w="100" w:type="dxa"/>
              <w:bottom w:w="60" w:type="dxa"/>
              <w:end w:w="100" w:type="dxa"/>
            </w:tcMar>
          </w:tcPr>
          <w:p>
            <w:pPr>
              <w:spacing w:line="360" w:lineRule="auto"/>
              <w:jc w:val="center"/>
              <w:rPr>
                <w:b/>
                <w:bCs/>
                <w:color w:val="333333"/>
                <w:sz w:val="20"/>
                <w:szCs w:val="20"/>
              </w:rPr>
            </w:pPr>
            <w:r>
              <w:rPr>
                <w:b/>
                <w:bCs/>
                <w:color w:val="333333"/>
                <w:sz w:val="20"/>
                <w:szCs w:val="20"/>
              </w:rPr>
              <w:t xml:space="preserve">Componente</w:t>
            </w:r>
          </w:p>
        </w:tc>
        <w:tc>
          <w:tcPr>
            <w:tcW w:w="4800" w:type="dxa"/>
            <w:tcBorders>
              <w:top w:val="single" w:sz="4" w:color="333333"/>
              <w:start w:val="single" w:sz="4" w:color="333333"/>
              <w:bottom w:val="single" w:sz="4" w:color="333333"/>
              <w:end w:val="single" w:sz="4" w:color="333333"/>
            </w:tcBorders>
            <w:shd w:val="clear" w:color="auto" w:fill="E6E6E6"/>
            <w:tcMar>
              <w:top w:w="60" w:type="dxa"/>
              <w:start w:w="100" w:type="dxa"/>
              <w:bottom w:w="60" w:type="dxa"/>
              <w:end w:w="100" w:type="dxa"/>
            </w:tcMar>
          </w:tcPr>
          <w:p>
            <w:pPr>
              <w:spacing w:line="360" w:lineRule="auto"/>
              <w:jc w:val="center"/>
              <w:rPr>
                <w:b/>
                <w:bCs/>
                <w:color w:val="333333"/>
                <w:sz w:val="20"/>
                <w:szCs w:val="20"/>
              </w:rPr>
            </w:pPr>
            <w:r>
              <w:rPr>
                <w:b/>
                <w:bCs/>
                <w:color w:val="333333"/>
                <w:sz w:val="20"/>
                <w:szCs w:val="20"/>
              </w:rPr>
              <w:t xml:space="preserve">Função no pipeline</w:t>
            </w:r>
          </w:p>
        </w:tc>
        <w:tc>
          <w:tcPr>
            <w:tcW w:w="1500" w:type="dxa"/>
            <w:tcBorders>
              <w:top w:val="single" w:sz="4" w:color="333333"/>
              <w:start w:val="single" w:sz="4" w:color="333333"/>
              <w:bottom w:val="single" w:sz="4" w:color="333333"/>
              <w:end w:val="single" w:sz="4" w:color="333333"/>
            </w:tcBorders>
            <w:shd w:val="clear" w:color="auto" w:fill="E6E6E6"/>
            <w:tcMar>
              <w:top w:w="60" w:type="dxa"/>
              <w:start w:w="100" w:type="dxa"/>
              <w:bottom w:w="60" w:type="dxa"/>
              <w:end w:w="100" w:type="dxa"/>
            </w:tcMar>
          </w:tcPr>
          <w:p>
            <w:pPr>
              <w:spacing w:line="360" w:lineRule="auto"/>
              <w:jc w:val="center"/>
              <w:rPr>
                <w:b/>
                <w:bCs/>
                <w:color w:val="333333"/>
                <w:sz w:val="20"/>
                <w:szCs w:val="20"/>
              </w:rPr>
            </w:pPr>
            <w:r>
              <w:rPr>
                <w:b/>
                <w:bCs/>
                <w:color w:val="333333"/>
                <w:sz w:val="20"/>
                <w:szCs w:val="20"/>
              </w:rPr>
              <w:t xml:space="preserve">Situação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Parsing multiformato</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Extração de texto de PDF, DOCX, PPTX, Markdown e imagens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333333"/>
                <w:sz w:val="20"/>
                <w:szCs w:val="20"/>
              </w:rPr>
            </w:pPr>
            <w:r>
              <w:rPr>
                <w:color w:val="333333"/>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Classificação por LLM</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Identificação de matéria, tipo, data e título, com índice de confiança</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333333"/>
                <w:sz w:val="20"/>
                <w:szCs w:val="20"/>
              </w:rPr>
            </w:pPr>
            <w:r>
              <w:rPr>
                <w:color w:val="333333"/>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Síntese</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Geração de Markdown estruturado, com fórmulas e tabelas preservadas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333333"/>
                <w:sz w:val="20"/>
                <w:szCs w:val="20"/>
              </w:rPr>
            </w:pPr>
            <w:r>
              <w:rPr>
                <w:color w:val="333333"/>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Compressão</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Modos compacto e cola, com reduções parametrizadas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333333"/>
                <w:sz w:val="20"/>
                <w:szCs w:val="20"/>
              </w:rPr>
            </w:pPr>
            <w:r>
              <w:rPr>
                <w:color w:val="333333"/>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Validação em quatro camadas</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Verificação estrutural, quantitativa, semântica e LLM-as-judge</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333333"/>
                <w:sz w:val="20"/>
                <w:szCs w:val="20"/>
              </w:rPr>
            </w:pPr>
            <w:r>
              <w:rPr>
                <w:color w:val="333333"/>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Geração de system prompt</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Composição de instruções personalizadas portáteis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333333"/>
                <w:sz w:val="20"/>
                <w:szCs w:val="20"/>
              </w:rPr>
            </w:pPr>
            <w:r>
              <w:rPr>
                <w:color w:val="333333"/>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Biblioteca de prompts</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Oito prompts oficiais para tarefas acadêmicas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333333"/>
                <w:sz w:val="20"/>
                <w:szCs w:val="20"/>
              </w:rPr>
            </w:pPr>
            <w:r>
              <w:rPr>
                <w:color w:val="333333"/>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Exportação para Google Drive</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Estrutura hierárquica por semestre e matéria (OAuth drive.file)</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333333"/>
                <w:sz w:val="20"/>
                <w:szCs w:val="20"/>
              </w:rPr>
            </w:pPr>
            <w:r>
              <w:rPr>
                <w:color w:val="333333"/>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Interface web</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333333"/>
                <w:sz w:val="20"/>
                <w:szCs w:val="20"/>
              </w:rPr>
            </w:pPr>
            <w:r>
              <w:rPr>
                <w:color w:val="333333"/>
                <w:sz w:val="20"/>
                <w:szCs w:val="20"/>
              </w:rPr>
              <w:t xml:space="preserve">Upload, acompanhamento e visualização de saídas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333333"/>
                <w:sz w:val="20"/>
                <w:szCs w:val="20"/>
              </w:rPr>
            </w:pPr>
            <w:r>
              <w:rPr>
                <w:color w:val="333333"/>
                <w:sz w:val="20"/>
                <w:szCs w:val="20"/>
              </w:rPr>
              <w:t xml:space="preserve">Implementado</w:t>
            </w:r>
          </w:p>
        </w:tc>
      </w:tr>
    </w:tbl>
    <w:p>
      <w:pPr>
        <w:spacing w:line="360" w:lineRule="auto"/>
        <w:rPr>
          <w:color w:val="333333"/>
          <w:sz w:val="20"/>
          <w:szCs w:val="20"/>
        </w:rPr>
      </w:pPr>
    </w:p>
    <w:p>
      <w:pPr>
        <w:spacing w:line="360" w:lineRule="auto"/>
        <w:jc w:val="center"/>
        <w:rPr>
          <w:color w:val="333333"/>
          <w:sz w:val="20"/>
          <w:szCs w:val="20"/>
        </w:rPr>
      </w:pPr>
      <w:r>
        <w:rPr>
          <w:color w:val="333333"/>
          <w:sz w:val="20"/>
          <w:szCs w:val="20"/>
        </w:rPr>
        <w:t xml:space="preserve">Fonte: Elaborado pelos autores, 2026.</w:t>
      </w:r>
    </w:p>
    <w:p>
      <w:pPr>
        <w:widowControl/>
        <w:spacing w:line="360" w:lineRule="auto"/>
        <w:jc w:val="both"/>
        <w:rPr>
          <w:color w:val="333333"/>
          <w:sz w:val="24"/>
          <w:szCs w:val="24"/>
        </w:rPr>
      </w:pPr>
      <w:r>
        <w:rPr>
          <w:color w:val="333333"/>
          <w:sz w:val="24"/>
          <w:szCs w:val="24"/>
        </w:rPr>
        <w:t xml:space="preserve">Todos os componentes previstos no backlog foram implementados e integrados; parte deles, inclusive, foi estendida com funcionalidades além do escopo originalmente planejado. Cabe ressaltar, contudo, que a mensuração sistemática de desempenho — taxa de classificação correta, custo por documento e latência sobre um corpus controlado — foi desenhada como parte do protocolo de avaliação (Seção 3), mas não foi executada neste ciclo. Os indicadores quantitativos correspondentes ainda não foram apurados e a sua obtenção constitui etapa imediata de continuidade do trabalho.</w:t>
      </w:r>
    </w:p>
    <w:p>
      <w:pPr>
        <w:keepNext/>
        <w:keepLines/>
        <w:spacing w:line="360" w:lineRule="auto"/>
        <w:rPr>
          <w:b/>
          <w:bCs/>
          <w:color w:val="333333"/>
          <w:sz w:val="24"/>
          <w:szCs w:val="24"/>
        </w:rPr>
      </w:pPr>
      <w:r>
        <w:rPr>
          <w:b/>
          <w:bCs/>
          <w:color w:val="333333"/>
          <w:sz w:val="24"/>
          <w:szCs w:val="24"/>
        </w:rPr>
        <w:t xml:space="preserve">5.2. Avaliação planejada e estado de execução</w:t>
      </w:r>
    </w:p>
    <w:p>
      <w:pPr>
        <w:widowControl/>
        <w:spacing w:line="360" w:lineRule="auto"/>
        <w:jc w:val="both"/>
        <w:rPr>
          <w:color w:val="333333"/>
          <w:sz w:val="24"/>
          <w:szCs w:val="24"/>
        </w:rPr>
      </w:pPr>
      <w:r>
        <w:rPr>
          <w:color w:val="333333"/>
          <w:sz w:val="24"/>
          <w:szCs w:val="24"/>
        </w:rPr>
        <w:t xml:space="preserve">A avaliação com usuários foi integralmente planejada segundo o protocolo descrito na Seção 3.4, prevendo dez estudantes voluntários da UnB de diferentes cursos, sessões individuais de aproximadamente 60 minutos e a aplicação dos instrumentos System Usability Scale (SUS), Technology Acceptance Model (TAM), comparativo cronometrado entre processo manual e automatizado e entrevista semiestruturada, com critérios de aceitação definidos previamente (Seção 3.5).</w:t>
      </w:r>
    </w:p>
    <w:p>
      <w:pPr>
        <w:widowControl/>
        <w:spacing w:line="360" w:lineRule="auto"/>
        <w:jc w:val="both"/>
        <w:rPr>
          <w:color w:val="333333"/>
          <w:sz w:val="24"/>
          <w:szCs w:val="24"/>
        </w:rPr>
      </w:pPr>
      <w:r>
        <w:rPr>
          <w:color w:val="333333"/>
          <w:sz w:val="24"/>
          <w:szCs w:val="24"/>
        </w:rPr>
        <w:t xml:space="preserve">A execução dessa avaliação, contudo, dependia da disponibilização do sistema em ambiente público, acessível aos participantes — etapa de implantação (deploy) que não foi concluída dentro da janela deste ciclo. Em consequência, a coleta de dados com usuários não foi realizada e nenhum resultado empírico de usabilidade, aceitação ou redução de tempo é reportado neste artigo. Optou-se deliberadamente por não apresentar valores estimados ou simulados, de modo a preservar a fidedignidade dos resultados.</w:t>
      </w:r>
    </w:p>
    <w:p>
      <w:pPr>
        <w:widowControl/>
        <w:spacing w:line="360" w:lineRule="auto"/>
        <w:jc w:val="both"/>
        <w:rPr>
          <w:color w:val="333333"/>
          <w:sz w:val="24"/>
          <w:szCs w:val="24"/>
        </w:rPr>
      </w:pPr>
      <w:r>
        <w:rPr>
          <w:color w:val="333333"/>
          <w:sz w:val="24"/>
          <w:szCs w:val="24"/>
        </w:rPr>
        <w:t xml:space="preserve">O roteiro da entrevista semiestruturada e o protocolo de análise de conteúdo (Bardin, 2011) foram igualmente preparados, prevendo a codificação dos relatos em categorias temáticas emergentes — por exemplo, ganho de tempo percebido, qualidade da síntese e portabilidade do system prompt. Esses instrumentos permanecem disponíveis para aplicação imediata assim que o sistema for publicado, possibilitando retomar a etapa de avaliação sem retrabalho de desenho metodológico.</w:t>
      </w:r>
    </w:p>
    <w:p>
      <w:pPr>
        <w:keepNext/>
        <w:keepLines/>
        <w:spacing w:line="360" w:lineRule="auto"/>
        <w:rPr>
          <w:b/>
          <w:bCs/>
          <w:color w:val="333333"/>
          <w:sz w:val="24"/>
          <w:szCs w:val="24"/>
        </w:rPr>
      </w:pPr>
      <w:r>
        <w:rPr>
          <w:b/>
          <w:bCs/>
          <w:color w:val="333333"/>
          <w:sz w:val="24"/>
          <w:szCs w:val="24"/>
        </w:rPr>
        <w:t xml:space="preserve">5.3. Discussão</w:t>
      </w:r>
    </w:p>
    <w:p>
      <w:pPr>
        <w:widowControl/>
        <w:spacing w:line="360" w:lineRule="auto"/>
        <w:jc w:val="both"/>
        <w:rPr>
          <w:color w:val="333333"/>
          <w:sz w:val="24"/>
          <w:szCs w:val="24"/>
        </w:rPr>
      </w:pPr>
      <w:r>
        <w:rPr>
          <w:color w:val="333333"/>
          <w:sz w:val="24"/>
          <w:szCs w:val="24"/>
        </w:rPr>
        <w:t xml:space="preserve">Na ausência de dados empíricos próprios, a discussão situa-se no plano do projeto do artefato e de sua aderência à literatura. Os sistemas mapeados na Seção 2 — como o RAGMan, de Ma, Martins e Lopes (2024), o Stan, de Furst e Venkateshwaran (2026), e o CourseAssist, de Feng, Liu e Ghosal (2024) — reportam altas taxas de adequação pedagógica e patamares de usabilidade considerados bons, oferecendo parâmetros de referência contra os quais o desempenho do presente artefato deverá ser confrontado quando a avaliação for executada.</w:t>
      </w:r>
    </w:p>
    <w:p>
      <w:pPr>
        <w:widowControl/>
        <w:spacing w:line="360" w:lineRule="auto"/>
        <w:jc w:val="both"/>
        <w:rPr>
          <w:color w:val="333333"/>
          <w:sz w:val="24"/>
          <w:szCs w:val="24"/>
        </w:rPr>
      </w:pPr>
      <w:r>
        <w:rPr>
          <w:color w:val="333333"/>
          <w:sz w:val="24"/>
          <w:szCs w:val="24"/>
        </w:rPr>
        <w:t xml:space="preserve">A própria motivação do artefato dialoga com a hipótese de Beale (2025) de que a barreira de adoção das ferramentas de IA generativa reside menos na tecnologia em si e mais no esforço de preparar contexto adequado. A verificação empírica de que a automatização dessa preparação produz ganho mensurável de produtividade — por meio do comparativo cronometrado previsto no protocolo — permanece como hipótese a ser testada, em diálogo com os achados qualitativos de Silva e Kampff (2025) sobre as percepções discentes acerca da IA na licenciatura.</w:t>
      </w:r>
    </w:p>
    <w:p>
      <w:pPr>
        <w:widowControl/>
        <w:spacing w:line="360" w:lineRule="auto"/>
        <w:jc w:val="both"/>
        <w:rPr>
          <w:color w:val="333333"/>
          <w:sz w:val="24"/>
          <w:szCs w:val="24"/>
        </w:rPr>
      </w:pPr>
      <w:r>
        <w:rPr>
          <w:color w:val="333333"/>
          <w:sz w:val="24"/>
          <w:szCs w:val="24"/>
        </w:rPr>
        <w:t xml:space="preserve">A diferenciação central do artefato — geração de saída portátil em vez de plataforma fechada — constitui a contribuição distintiva da pesquisa em relação aos sistemas mapeados, ainda que sua percepção pelos usuários reste por ser verificada na avaliação planejada. Os dados publicados pelo Comitê Gestor da Internet no Brasil (CGI.br, 2025) corroboram a relevância dessa abordagem: enquanto 70% dos estudantes brasileiros do ensino médio já utilizam IA generativa em pesquisas escolares, apenas cerca de um terço afirmam ter recebido orientação estruturada sobre como utilizá-las. Soluções que estruturam o uso da IA generativa, sem aprisionar o estudante em plataformas únicas, atendem demanda concreta identificada também no contexto universitário.</w:t>
      </w:r>
    </w:p>
    <w:p>
      <w:pPr>
        <w:keepNext/>
        <w:keepLines/>
        <w:spacing w:before="40" w:line="360" w:lineRule="auto"/>
        <w:rPr>
          <w:b/>
          <w:bCs/>
          <w:color w:val="333333"/>
          <w:sz w:val="24"/>
          <w:szCs w:val="24"/>
        </w:rPr>
      </w:pPr>
      <w:r>
        <w:rPr>
          <w:b/>
          <w:bCs/>
          <w:color w:val="333333"/>
          <w:sz w:val="24"/>
          <w:szCs w:val="24"/>
        </w:rPr>
        <w:t xml:space="preserve">6. Considerações finais</w:t>
      </w:r>
    </w:p>
    <w:p>
      <w:pPr>
        <w:widowControl/>
        <w:spacing w:line="360" w:lineRule="auto"/>
        <w:jc w:val="both"/>
        <w:rPr>
          <w:color w:val="333333"/>
          <w:sz w:val="24"/>
          <w:szCs w:val="24"/>
        </w:rPr>
      </w:pPr>
      <w:r>
        <w:rPr>
          <w:color w:val="333333"/>
          <w:sz w:val="24"/>
          <w:szCs w:val="24"/>
        </w:rPr>
        <w:t xml:space="preserve">Este trabalho apresentou o desenvolvimento e o desenho da avaliação de um sistema web destinado a transformar materiais acadêmicos brutos de estudantes universitários em um conjunto de artefatos portáteis — Markdown sintetizado organizado em estrutura hierárquica no Google Drive e system prompt personalizado — com o objetivo de viabilizar uso contextualizado de plataformas de inteligência artificial generativa.</w:t>
      </w:r>
    </w:p>
    <w:p>
      <w:pPr>
        <w:widowControl/>
        <w:spacing w:line="360" w:lineRule="auto"/>
        <w:jc w:val="both"/>
        <w:rPr>
          <w:color w:val="333333"/>
          <w:sz w:val="24"/>
          <w:szCs w:val="24"/>
        </w:rPr>
      </w:pPr>
      <w:r>
        <w:rPr>
          <w:color w:val="333333"/>
          <w:sz w:val="24"/>
          <w:szCs w:val="24"/>
        </w:rPr>
        <w:t xml:space="preserve">A pesquisa foi conduzida sob o método Design Science Research, aderente à natureza de projetos cujo output principal é um artefato (Hevner et al., 2004; Peffers et al., 2007; Dresch; Lacerda; Antunes Jr., 2015), e estruturada em quatro sprints conforme as seis atividades da DSRM. O principal resultado alcançado foi o protótipo funcional, que implementa de ponta a ponta o pipeline de ingestão, classificação, síntese, compressão, validação e exportação, demonstrado em ambiente de desenvolvimento. As atividades de avaliação da DSRM — validação técnica em corpus controlado e avaliação com estudantes da UnB — foram integralmente desenhadas, com critérios de aceitação e instrumentos definidos, mas não foram executadas neste ciclo, uma vez que dependiam da disponibilização pública do sistema, ainda não concluída. Nenhum resultado empírico é, portanto, reportado.</w:t>
      </w:r>
    </w:p>
    <w:p>
      <w:pPr>
        <w:widowControl/>
        <w:spacing w:line="360" w:lineRule="auto"/>
        <w:jc w:val="both"/>
        <w:rPr>
          <w:color w:val="333333"/>
          <w:sz w:val="24"/>
          <w:szCs w:val="24"/>
        </w:rPr>
      </w:pPr>
      <w:r>
        <w:rPr>
          <w:color w:val="333333"/>
          <w:sz w:val="24"/>
          <w:szCs w:val="24"/>
        </w:rPr>
        <w:t xml:space="preserve">A contribuição teórica do trabalho reside na proposição de um modelo de preparação automatizada de contexto, etapa anterior à interação com a IA generativa, pouco explorada na literatura, que se concentra majoritariamente em tutores inteligentes embarcados em plataformas próprias. A contribuição prática consiste no artefato funcional, que pode ser adaptado a diferentes contextos institucionais e cursos.</w:t>
      </w:r>
    </w:p>
    <w:p>
      <w:pPr>
        <w:widowControl/>
        <w:spacing w:line="360" w:lineRule="auto"/>
        <w:jc w:val="both"/>
        <w:rPr>
          <w:color w:val="333333"/>
          <w:sz w:val="24"/>
          <w:szCs w:val="24"/>
        </w:rPr>
      </w:pPr>
      <w:r>
        <w:rPr>
          <w:color w:val="333333"/>
          <w:sz w:val="24"/>
          <w:szCs w:val="24"/>
        </w:rPr>
        <w:t xml:space="preserve">Reconhecem-se as seguintes limitações principais. A primeira, e mais relevante, é a ausência de avaliação empírica: por não ter sido concluída a disponibilização pública do sistema na janela do projeto, a validação técnica e a avaliação com usuários não foram executadas, de modo que as evidências de desempenho, usabilidade e ganho de tempo permanecem por levantar. A segunda diz respeito ao desenho previsto da avaliação — amostra de dez participantes, por conveniência, em uma única instituição —, que confere caráter exploratório aos achados futuros e demandará amostragem ampliada para confirmação estatística. A terceira é a dependência de serviços externos (OpenRouter, Google Drive, Supabase), que insere fatores de risco operacional não plenamente controláveis pela equipe de desenvolvimento.</w:t>
      </w:r>
    </w:p>
    <w:p>
      <w:pPr>
        <w:widowControl/>
        <w:spacing w:line="360" w:lineRule="auto"/>
        <w:jc w:val="both"/>
        <w:rPr>
          <w:color w:val="333333"/>
          <w:sz w:val="24"/>
          <w:szCs w:val="24"/>
        </w:rPr>
      </w:pPr>
      <w:r>
        <w:rPr>
          <w:color w:val="333333"/>
          <w:sz w:val="24"/>
          <w:szCs w:val="24"/>
        </w:rPr>
        <w:t xml:space="preserve">Como trabalhos futuros, propõem-se, em ordem de prioridade: a conclusão da implantação pública do sistema e a execução da avaliação já desenhada — validação técnica em corpus controlado e aplicação dos instrumentos SUS, TAM, comparativo cronometrado e entrevistas com os dez participantes previstos; a ampliação subsequente da avaliação para amostras superiores a cinquenta estudantes em diferentes instituições brasileiras, com foco em análise estatística inferencial; a integração nativa com o Sistema Integrado de Gestão de Atividades Acadêmicas (SIGAA) e plataformas equivalentes (Moodle, Canvas), eliminando a etapa de upload manual; a incorporação de Retrieval-Augmented Generation dinâmico, em que o system prompt gerado consulta os documentos processados em tempo de execução; a extensão da biblioteca de prompts oficiais com colaboração de professores das disciplinas; e a condução de estudo longitudinal acompanhando o desempenho acadêmico dos participantes ao longo de pelo menos dois semestres consecutivos.</w:t>
      </w:r>
    </w:p>
    <w:p>
      <w:pPr>
        <w:widowControl/>
        <w:spacing w:line="360" w:lineRule="auto"/>
        <w:jc w:val="both"/>
        <w:rPr>
          <w:color w:val="333333"/>
          <w:sz w:val="24"/>
          <w:szCs w:val="24"/>
        </w:rPr>
      </w:pPr>
      <w:r>
        <w:rPr>
          <w:color w:val="333333"/>
          <w:sz w:val="24"/>
          <w:szCs w:val="24"/>
        </w:rPr>
        <w:t xml:space="preserve">A automatização da preparação de contexto, posicionada entre os materiais acadêmicos brutos do estudante e a IA generativa de sua preferência, mostrou-se viável do ponto de vista de engenharia, materializada em um protótipo funcional completo. A confirmação de sua utilidade e eficiência junto aos estudantes depende da avaliação empírica ora planejada. Ainda assim, o artefato resultante oferece base concreta para investigações futuras sobre o uso instrumentado de modelos de linguagem no ensino superior brasileiro.</w:t>
      </w:r>
    </w:p>
    <w:p>
      <w:pPr>
        <w:keepNext/>
        <w:keepLines/>
        <w:spacing w:before="40" w:line="360" w:lineRule="auto"/>
        <w:rPr>
          <w:b/>
          <w:bCs/>
          <w:color w:val="333333"/>
          <w:sz w:val="24"/>
          <w:szCs w:val="24"/>
        </w:rPr>
      </w:pPr>
      <w:r>
        <w:rPr>
          <w:b/>
          <w:bCs/>
          <w:color w:val="333333"/>
          <w:sz w:val="24"/>
          <w:szCs w:val="24"/>
        </w:rPr>
        <w:t xml:space="preserve">REFERÊNCIAS</w:t>
      </w:r>
    </w:p>
    <w:p>
      <w:pPr>
        <w:spacing w:line="276" w:lineRule="auto" w:after="80"/>
        <w:jc w:val="left"/>
        <w:rPr>
          <w:color w:val="333333"/>
          <w:sz w:val="20"/>
          <w:szCs w:val="20"/>
        </w:rPr>
      </w:pPr>
      <w:r>
        <w:rPr>
          <w:color w:val="333333"/>
          <w:sz w:val="20"/>
          <w:szCs w:val="20"/>
        </w:rPr>
        <w:t xml:space="preserve">BANGOR, A.; KORTUM, P. T.; MILLER, J. T. An empirical evaluation of the System Usability Scale. International Journal of Human-Computer Interaction, v. 24, n. 6, p. 574-594, 2008.</w:t>
      </w:r>
    </w:p>
    <w:p>
      <w:pPr>
        <w:spacing w:line="276" w:lineRule="auto" w:after="80"/>
        <w:jc w:val="left"/>
        <w:rPr>
          <w:color w:val="333333"/>
          <w:sz w:val="20"/>
          <w:szCs w:val="20"/>
        </w:rPr>
      </w:pPr>
      <w:r>
        <w:rPr>
          <w:color w:val="333333"/>
          <w:sz w:val="20"/>
          <w:szCs w:val="20"/>
        </w:rPr>
        <w:t xml:space="preserve">BARDIN, L. Análise de conteúdo. São Paulo: Edições 70, 2011.</w:t>
      </w:r>
    </w:p>
    <w:p>
      <w:pPr>
        <w:spacing w:line="276" w:lineRule="auto" w:after="80"/>
        <w:jc w:val="left"/>
        <w:rPr>
          <w:color w:val="333333"/>
          <w:sz w:val="20"/>
          <w:szCs w:val="20"/>
        </w:rPr>
      </w:pPr>
      <w:r>
        <w:rPr>
          <w:color w:val="333333"/>
          <w:sz w:val="20"/>
          <w:szCs w:val="20"/>
        </w:rPr>
        <w:t xml:space="preserve">BEALE, R. Dialogic pedagogy for large language models: aligning conversational AI with established learning theories. arXiv preprint, 2025.</w:t>
      </w:r>
    </w:p>
    <w:p>
      <w:pPr>
        <w:spacing w:line="276" w:lineRule="auto" w:after="80"/>
        <w:jc w:val="left"/>
        <w:rPr>
          <w:color w:val="333333"/>
          <w:sz w:val="20"/>
          <w:szCs w:val="20"/>
        </w:rPr>
      </w:pPr>
      <w:r>
        <w:rPr>
          <w:color w:val="333333"/>
          <w:sz w:val="20"/>
          <w:szCs w:val="20"/>
        </w:rPr>
        <w:t xml:space="preserve">BOCHARD, M. et al. LeafTutor: an AI agent for programming assignment tutoring. arXiv preprint, 2025.</w:t>
      </w:r>
    </w:p>
    <w:p>
      <w:pPr>
        <w:spacing w:line="276" w:lineRule="auto" w:after="80"/>
        <w:jc w:val="left"/>
        <w:rPr>
          <w:color w:val="333333"/>
          <w:sz w:val="20"/>
          <w:szCs w:val="20"/>
        </w:rPr>
      </w:pPr>
      <w:r>
        <w:rPr>
          <w:color w:val="333333"/>
          <w:sz w:val="20"/>
          <w:szCs w:val="20"/>
        </w:rPr>
        <w:t xml:space="preserve">BROOKE, J. SUS: a quick and dirty usability scale. In: JORDAN, P. W.; THOMAS, B.; WEERDMEESTER, B. A.; McCLELLAND, I. L. (Eds.). Usability evaluation in industry. London: Taylor &amp; Francis, 1996. p. 189-194.</w:t>
      </w:r>
    </w:p>
    <w:p>
      <w:pPr>
        <w:spacing w:line="276" w:lineRule="auto" w:after="80"/>
        <w:jc w:val="left"/>
        <w:rPr>
          <w:color w:val="333333"/>
          <w:sz w:val="20"/>
          <w:szCs w:val="20"/>
        </w:rPr>
      </w:pPr>
      <w:r>
        <w:rPr>
          <w:color w:val="333333"/>
          <w:sz w:val="20"/>
          <w:szCs w:val="20"/>
        </w:rPr>
        <w:t xml:space="preserve">CGI.br — COMITÊ GESTOR DA INTERNET NO BRASIL. Pesquisa TIC Educação 2024: pesquisa sobre o uso das tecnologias de informação e comunicação nas escolas brasileiras. São Paulo: NIC.br, 2025.</w:t>
      </w:r>
    </w:p>
    <w:p>
      <w:pPr>
        <w:spacing w:line="276" w:lineRule="auto" w:after="80"/>
        <w:jc w:val="left"/>
        <w:rPr>
          <w:color w:val="333333"/>
          <w:sz w:val="20"/>
          <w:szCs w:val="20"/>
        </w:rPr>
      </w:pPr>
      <w:r>
        <w:rPr>
          <w:color w:val="333333"/>
          <w:sz w:val="20"/>
          <w:szCs w:val="20"/>
        </w:rPr>
        <w:t xml:space="preserve">CHEN, S. et al. Comparing RAG and GraphRAG for math textbook question answering. arXiv preprint, 2025.</w:t>
      </w:r>
    </w:p>
    <w:p>
      <w:pPr>
        <w:spacing w:line="276" w:lineRule="auto" w:after="80"/>
        <w:jc w:val="left"/>
        <w:rPr>
          <w:color w:val="333333"/>
          <w:sz w:val="20"/>
          <w:szCs w:val="20"/>
        </w:rPr>
      </w:pPr>
      <w:r>
        <w:rPr>
          <w:color w:val="333333"/>
          <w:sz w:val="20"/>
          <w:szCs w:val="20"/>
        </w:rPr>
        <w:t xml:space="preserve">CRESWELL, J. W.; CRESWELL, J. D. Projeto de pesquisa: métodos qualitativo, quantitativo e misto. 5. ed. Porto Alegre: Penso, 2021.</w:t>
      </w:r>
    </w:p>
    <w:p>
      <w:pPr>
        <w:spacing w:line="276" w:lineRule="auto" w:after="80"/>
        <w:jc w:val="left"/>
        <w:rPr>
          <w:color w:val="333333"/>
          <w:sz w:val="20"/>
          <w:szCs w:val="20"/>
        </w:rPr>
      </w:pPr>
      <w:r>
        <w:rPr>
          <w:color w:val="333333"/>
          <w:sz w:val="20"/>
          <w:szCs w:val="20"/>
        </w:rPr>
        <w:t xml:space="preserve">DAVIS, F. D. Perceived usefulness, perceived ease of use, and user acceptance of information technology. MIS Quarterly, v. 13, n. 3, p. 319-340, 1989.</w:t>
      </w:r>
    </w:p>
    <w:p>
      <w:pPr>
        <w:spacing w:line="276" w:lineRule="auto" w:after="80"/>
        <w:jc w:val="left"/>
        <w:rPr>
          <w:color w:val="333333"/>
          <w:sz w:val="20"/>
          <w:szCs w:val="20"/>
        </w:rPr>
      </w:pPr>
      <w:r>
        <w:rPr>
          <w:color w:val="333333"/>
          <w:sz w:val="20"/>
          <w:szCs w:val="20"/>
        </w:rPr>
        <w:t xml:space="preserve">DRESCH, A.; LACERDA, D. P.; ANTUNES JR., J. A. V. Design science research: método de pesquisa para avanço da ciência e tecnologia. Porto Alegre: Bookman, 2015.</w:t>
      </w:r>
    </w:p>
    <w:p>
      <w:pPr>
        <w:spacing w:line="276" w:lineRule="auto" w:after="80"/>
        <w:jc w:val="left"/>
        <w:rPr>
          <w:color w:val="333333"/>
          <w:sz w:val="20"/>
          <w:szCs w:val="20"/>
        </w:rPr>
      </w:pPr>
      <w:r>
        <w:rPr>
          <w:color w:val="333333"/>
          <w:sz w:val="20"/>
          <w:szCs w:val="20"/>
        </w:rPr>
        <w:t xml:space="preserve">FENG, X.; LIU, R.; GHOSAL, T. CourseAssist: pedagogically appropriate AI tutor for computer science education. arXiv preprint, 2024.</w:t>
      </w:r>
    </w:p>
    <w:p>
      <w:pPr>
        <w:spacing w:line="276" w:lineRule="auto" w:after="80"/>
        <w:jc w:val="left"/>
        <w:rPr>
          <w:color w:val="333333"/>
          <w:sz w:val="20"/>
          <w:szCs w:val="20"/>
        </w:rPr>
      </w:pPr>
      <w:r>
        <w:rPr>
          <w:color w:val="333333"/>
          <w:sz w:val="20"/>
          <w:szCs w:val="20"/>
        </w:rPr>
        <w:t xml:space="preserve">FURST, A.; VENKATESHWARAN, S. Stan: an LLM-based thermodynamics course assistant. arXiv preprint, 2026.</w:t>
      </w:r>
    </w:p>
    <w:p>
      <w:pPr>
        <w:spacing w:line="276" w:lineRule="auto" w:after="80"/>
        <w:jc w:val="left"/>
        <w:rPr>
          <w:color w:val="333333"/>
          <w:sz w:val="20"/>
          <w:szCs w:val="20"/>
        </w:rPr>
      </w:pPr>
      <w:r>
        <w:rPr>
          <w:color w:val="333333"/>
          <w:sz w:val="20"/>
          <w:szCs w:val="20"/>
        </w:rPr>
        <w:t xml:space="preserve">GIL, A. C. Métodos e técnicas de pesquisa social. 7. ed. São Paulo: Atlas, 2019.</w:t>
      </w:r>
    </w:p>
    <w:p>
      <w:pPr>
        <w:spacing w:line="276" w:lineRule="auto" w:after="80"/>
        <w:jc w:val="left"/>
        <w:rPr>
          <w:color w:val="333333"/>
          <w:sz w:val="20"/>
          <w:szCs w:val="20"/>
        </w:rPr>
      </w:pPr>
      <w:r>
        <w:rPr>
          <w:color w:val="333333"/>
          <w:sz w:val="20"/>
          <w:szCs w:val="20"/>
        </w:rPr>
        <w:t xml:space="preserve">HAO, Z. et al. Student-AI interaction in an LLM-empowered learning environment: a cluster analysis of engagement profiles. arXiv preprint, 2025.</w:t>
      </w:r>
    </w:p>
    <w:p>
      <w:pPr>
        <w:spacing w:line="276" w:lineRule="auto" w:after="80"/>
        <w:jc w:val="left"/>
        <w:rPr>
          <w:color w:val="333333"/>
          <w:sz w:val="20"/>
          <w:szCs w:val="20"/>
        </w:rPr>
      </w:pPr>
      <w:r>
        <w:rPr>
          <w:color w:val="333333"/>
          <w:sz w:val="20"/>
          <w:szCs w:val="20"/>
        </w:rPr>
        <w:t xml:space="preserve">HERKLOTZ, M. et al. Can we trust LLMs as a tutor for our students? Evaluating the quality of LLM-generated feedback in statistics exams. arXiv preprint, 2025.</w:t>
      </w:r>
    </w:p>
    <w:p>
      <w:pPr>
        <w:spacing w:line="276" w:lineRule="auto" w:after="80"/>
        <w:jc w:val="left"/>
        <w:rPr>
          <w:color w:val="333333"/>
          <w:sz w:val="20"/>
          <w:szCs w:val="20"/>
        </w:rPr>
      </w:pPr>
      <w:r>
        <w:rPr>
          <w:color w:val="333333"/>
          <w:sz w:val="20"/>
          <w:szCs w:val="20"/>
        </w:rPr>
        <w:t xml:space="preserve">HEVNER, A. R.; MARCH, S. T.; PARK, J.; RAM, S. Design science in information systems research. MIS Quarterly, v. 28, n. 1, p. 75-105, 2004.</w:t>
      </w:r>
    </w:p>
    <w:p>
      <w:pPr>
        <w:spacing w:line="276" w:lineRule="auto" w:after="80"/>
        <w:jc w:val="left"/>
        <w:rPr>
          <w:color w:val="333333"/>
          <w:sz w:val="20"/>
          <w:szCs w:val="20"/>
        </w:rPr>
      </w:pPr>
      <w:r>
        <w:rPr>
          <w:color w:val="333333"/>
          <w:sz w:val="20"/>
          <w:szCs w:val="20"/>
        </w:rPr>
        <w:t xml:space="preserve">LACERDA, D. P.; DRESCH, A.; PROENÇA, A.; ANTUNES JR., J. A. V. Design science research: método de pesquisa para a engenharia de produção. Gestão &amp; Produção, São Carlos, v. 20, n. 4, p. 741-761, 2013. DOI: 10.1590/S0104-530X2013005000014.</w:t>
      </w:r>
    </w:p>
    <w:p>
      <w:pPr>
        <w:spacing w:line="276" w:lineRule="auto" w:after="80"/>
        <w:jc w:val="left"/>
        <w:rPr>
          <w:color w:val="333333"/>
          <w:sz w:val="20"/>
          <w:szCs w:val="20"/>
        </w:rPr>
      </w:pPr>
      <w:r>
        <w:rPr>
          <w:color w:val="333333"/>
          <w:sz w:val="20"/>
          <w:szCs w:val="20"/>
        </w:rPr>
        <w:t xml:space="preserve">LEWIS, P. et al. Retrieval-augmented generation for knowledge-intensive NLP tasks. Advances in Neural Information Processing Systems, v. 33, p. 9459-9474, 2020.</w:t>
      </w:r>
    </w:p>
    <w:p>
      <w:pPr>
        <w:spacing w:line="276" w:lineRule="auto" w:after="80"/>
        <w:jc w:val="left"/>
        <w:rPr>
          <w:color w:val="333333"/>
          <w:sz w:val="20"/>
          <w:szCs w:val="20"/>
        </w:rPr>
      </w:pPr>
      <w:r>
        <w:rPr>
          <w:color w:val="333333"/>
          <w:sz w:val="20"/>
          <w:szCs w:val="20"/>
        </w:rPr>
        <w:t xml:space="preserve">MA, J.; MARTINS, P.; LOPES, R. RAGMan: integrating AI tutors in programming course. arXiv preprint, 2024.</w:t>
      </w:r>
    </w:p>
    <w:p>
      <w:pPr>
        <w:spacing w:line="276" w:lineRule="auto" w:after="80"/>
        <w:jc w:val="left"/>
        <w:rPr>
          <w:color w:val="333333"/>
          <w:sz w:val="20"/>
          <w:szCs w:val="20"/>
        </w:rPr>
      </w:pPr>
      <w:r>
        <w:rPr>
          <w:color w:val="333333"/>
          <w:sz w:val="20"/>
          <w:szCs w:val="20"/>
        </w:rPr>
        <w:t xml:space="preserve">PEFFERS, K.; TUUNANEN, T.; ROTHENBERGER, M. A.; CHATTERJEE, S. A design science research methodology for information systems research. Journal of Management Information Systems, v. 24, n. 3, p. 45-77, 2007.</w:t>
      </w:r>
    </w:p>
    <w:p>
      <w:pPr>
        <w:spacing w:line="276" w:lineRule="auto" w:after="80"/>
        <w:jc w:val="left"/>
        <w:rPr>
          <w:color w:val="333333"/>
          <w:sz w:val="20"/>
          <w:szCs w:val="20"/>
        </w:rPr>
      </w:pPr>
      <w:r>
        <w:rPr>
          <w:color w:val="333333"/>
          <w:sz w:val="20"/>
          <w:szCs w:val="20"/>
        </w:rPr>
        <w:t xml:space="preserve">SILVA, D. S. da; KAMPFF, A. J. C. Licenciatura em tempos de inteligência artificial: desafios formativos e percepções discentes. Revista Docência do Ensino Superior, Belo Horizonte, v. 15, p. 1-19, 2025. DOI: 10.35699/2237-5864.2025.58845.</w:t>
      </w:r>
    </w:p>
    <w:p>
      <w:pPr>
        <w:spacing w:line="276" w:lineRule="auto" w:after="80"/>
        <w:jc w:val="left"/>
        <w:rPr>
          <w:color w:val="333333"/>
          <w:sz w:val="20"/>
          <w:szCs w:val="20"/>
        </w:rPr>
      </w:pPr>
      <w:r>
        <w:rPr>
          <w:color w:val="333333"/>
          <w:sz w:val="20"/>
          <w:szCs w:val="20"/>
        </w:rPr>
        <w:t xml:space="preserve">SIRNOORKAR, A.; REBELLO, N. S. Feedback that clicks: introductory physics students valued features in AI feedback generated from self-crafted and engineered prompts. arXiv preprint, 2025.</w:t>
      </w:r>
    </w:p>
    <w:p>
      <w:pPr>
        <w:spacing w:line="276" w:lineRule="auto" w:after="80"/>
        <w:jc w:val="left"/>
        <w:rPr>
          <w:color w:val="333333"/>
          <w:sz w:val="20"/>
          <w:szCs w:val="20"/>
        </w:rPr>
      </w:pPr>
      <w:r>
        <w:rPr>
          <w:color w:val="333333"/>
          <w:sz w:val="20"/>
          <w:szCs w:val="20"/>
        </w:rPr>
        <w:t xml:space="preserve">TUFINO, E. NotebookLM as a Socratic physics tutor. arXiv preprint, 2025.</w:t>
      </w:r>
    </w:p>
    <w:p>
      <w:pPr>
        <w:spacing w:line="276" w:lineRule="auto" w:after="80"/>
        <w:jc w:val="left"/>
        <w:rPr>
          <w:color w:val="333333"/>
          <w:sz w:val="20"/>
          <w:szCs w:val="20"/>
        </w:rPr>
      </w:pPr>
      <w:r>
        <w:rPr>
          <w:color w:val="333333"/>
          <w:sz w:val="20"/>
          <w:szCs w:val="20"/>
        </w:rPr>
        <w:t xml:space="preserve">VENKATESH, V.; DAVIS, F. D. A theoretical extension of the technology acceptance model: four longitudinal field studies. Management Science, v. 46, n. 2, p. 186-204, 2000.</w:t>
      </w:r>
    </w:p>
    <w:p>
      <w:pPr>
        <w:spacing w:line="276" w:lineRule="auto" w:after="80"/>
        <w:jc w:val="left"/>
        <w:rPr>
          <w:color w:val="333333"/>
          <w:sz w:val="20"/>
          <w:szCs w:val="20"/>
        </w:rPr>
      </w:pPr>
      <w:r>
        <w:rPr>
          <w:color w:val="333333"/>
          <w:sz w:val="20"/>
          <w:szCs w:val="20"/>
        </w:rPr>
        <w:t xml:space="preserve">YU, J. et al. From MOOC to MAIC: reshaping online teaching and learning through LLM-driven agents. arXiv preprint, 2024.</w:t>
      </w:r>
    </w:p>
    <w:p>
      <w:pPr>
        <w:spacing w:line="276" w:lineRule="auto" w:after="80"/>
        <w:jc w:val="left"/>
        <w:rPr>
          <w:color w:val="333333"/>
          <w:sz w:val="20"/>
          <w:szCs w:val="20"/>
        </w:rPr>
      </w:pPr>
      <w:r>
        <w:rPr>
          <w:color w:val="333333"/>
          <w:sz w:val="20"/>
          <w:szCs w:val="20"/>
        </w:rPr>
        <w:t xml:space="preserve">ZHAO, B. et al. DeepTutor: towards agentic personalized tutoring. arXiv preprint, 2026.</w:t>
      </w:r>
    </w:p>
    <w:sectPr w:rsidR="00BB2459">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EE40" w14:textId="77777777" w:rsidR="00360CCA" w:rsidRDefault="00360CCA">
      <w:r>
        <w:separator/>
      </w:r>
    </w:p>
  </w:endnote>
  <w:endnote w:type="continuationSeparator" w:id="0">
    <w:p w14:paraId="4E69CB89" w14:textId="77777777" w:rsidR="00360CCA" w:rsidRDefault="0036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A0D4F9B-7FFD-45DC-AF04-04BBDC81E3A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59AB2F5-92D0-4690-BFBE-DC386FD88A73}"/>
  </w:font>
  <w:font w:name="Tahoma">
    <w:panose1 w:val="020B0604030504040204"/>
    <w:charset w:val="00"/>
    <w:family w:val="swiss"/>
    <w:pitch w:val="variable"/>
    <w:sig w:usb0="E1002EFF" w:usb1="C000605B" w:usb2="00000029" w:usb3="00000000" w:csb0="000101FF" w:csb1="00000000"/>
    <w:embedRegular r:id="rId3" w:fontKey="{6EF6486D-CC66-44C6-BFE2-E5CA44B766E1}"/>
  </w:font>
  <w:font w:name="Georgia">
    <w:panose1 w:val="02040502050405020303"/>
    <w:charset w:val="00"/>
    <w:family w:val="roman"/>
    <w:pitch w:val="variable"/>
    <w:sig w:usb0="00000287" w:usb1="00000000" w:usb2="00000000" w:usb3="00000000" w:csb0="0000009F" w:csb1="00000000"/>
    <w:embedItalic r:id="rId4" w:fontKey="{9BCD03D0-6C88-413D-A014-4D3F8CD27833}"/>
  </w:font>
  <w:font w:name="Trebuchet MS">
    <w:altName w:val="Trebuchet MS"/>
    <w:panose1 w:val="020B0603020202020204"/>
    <w:charset w:val="00"/>
    <w:family w:val="swiss"/>
    <w:pitch w:val="variable"/>
    <w:sig w:usb0="00000687" w:usb1="00000000" w:usb2="00000000" w:usb3="00000000" w:csb0="0000009F" w:csb1="00000000"/>
    <w:embedRegular r:id="rId5" w:fontKey="{4DBADADE-133F-4E5F-B7F1-22A015C563D6}"/>
    <w:embedBold r:id="rId6" w:fontKey="{6731A1DD-3E22-45D2-9C60-6F53D7C8693A}"/>
  </w:font>
  <w:font w:name="Calibri">
    <w:panose1 w:val="020F0502020204030204"/>
    <w:charset w:val="00"/>
    <w:family w:val="swiss"/>
    <w:pitch w:val="variable"/>
    <w:sig w:usb0="E4002EFF" w:usb1="C200247B" w:usb2="00000009" w:usb3="00000000" w:csb0="000001FF" w:csb1="00000000"/>
    <w:embedRegular r:id="rId7" w:fontKey="{24DC2990-3A35-4071-92A5-BFDF7CA8BD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7D3A"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7442" w14:textId="77777777" w:rsidR="00BB2459" w:rsidRDefault="00000000">
    <w:pPr>
      <w:widowControl/>
      <w:pBdr>
        <w:top w:val="nil"/>
        <w:left w:val="nil"/>
        <w:bottom w:val="nil"/>
        <w:right w:val="nil"/>
        <w:between w:val="nil"/>
      </w:pBdr>
      <w:tabs>
        <w:tab w:val="center" w:pos="4252"/>
        <w:tab w:val="right" w:pos="8504"/>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0F0EE8">
      <w:rPr>
        <w:noProof/>
        <w:color w:val="000000"/>
        <w:sz w:val="24"/>
        <w:szCs w:val="24"/>
      </w:rPr>
      <w:t>1</w:t>
    </w:r>
    <w:r>
      <w:rPr>
        <w:color w:val="000000"/>
        <w:sz w:val="24"/>
        <w:szCs w:val="24"/>
      </w:rPr>
      <w:fldChar w:fldCharType="end"/>
    </w:r>
  </w:p>
  <w:p w14:paraId="7DEAE423" w14:textId="77777777" w:rsidR="00BB2459" w:rsidRDefault="00BB2459">
    <w:pPr>
      <w:widowControl/>
      <w:pBdr>
        <w:top w:val="nil"/>
        <w:left w:val="nil"/>
        <w:bottom w:val="nil"/>
        <w:right w:val="nil"/>
        <w:between w:val="nil"/>
      </w:pBdr>
      <w:tabs>
        <w:tab w:val="center" w:pos="4252"/>
        <w:tab w:val="right" w:pos="8504"/>
      </w:tabs>
      <w:jc w:val="right"/>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23FA8"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869B" w14:textId="77777777" w:rsidR="00360CCA" w:rsidRDefault="00360CCA">
      <w:r>
        <w:separator/>
      </w:r>
    </w:p>
  </w:footnote>
  <w:footnote w:type="continuationSeparator" w:id="0">
    <w:p w14:paraId="6693186E" w14:textId="77777777" w:rsidR="00360CCA" w:rsidRDefault="00360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52C5"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652C" w14:textId="77777777" w:rsidR="00BB2459" w:rsidRDefault="00000000">
    <w:pPr>
      <w:spacing w:before="72" w:line="185" w:lineRule="auto"/>
      <w:jc w:val="right"/>
      <w:rPr>
        <w:rFonts w:ascii="Trebuchet MS" w:eastAsia="Trebuchet MS" w:hAnsi="Trebuchet MS" w:cs="Trebuchet MS"/>
        <w:b/>
        <w:bCs/>
        <w:sz w:val="16"/>
        <w:szCs w:val="16"/>
      </w:rPr>
    </w:pPr>
    <w:bookmarkStart w:id="0" w:name="_heading=h.gjdgxs" w:colFirst="0" w:colLast="0"/>
    <w:bookmarkEnd w:id="0"/>
    <w:r>
      <w:rPr>
        <w:rFonts w:ascii="Trebuchet MS" w:eastAsia="Trebuchet MS" w:hAnsi="Trebuchet MS" w:cs="Trebuchet MS"/>
        <w:b/>
        <w:bCs/>
        <w:noProof/>
        <w:sz w:val="16"/>
        <w:szCs w:val="16"/>
      </w:rPr>
      <w:drawing>
        <wp:anchor distT="0" distB="0" distL="114300" distR="114300" simplePos="0" relativeHeight="251658240" behindDoc="0" locked="0" layoutInCell="1" hidden="0" allowOverlap="1" wp14:anchorId="6AB06612" wp14:editId="0C48B4C2">
          <wp:simplePos x="0" y="0"/>
          <wp:positionH relativeFrom="margin">
            <wp:align>left</wp:align>
          </wp:positionH>
          <wp:positionV relativeFrom="page">
            <wp:posOffset>286166</wp:posOffset>
          </wp:positionV>
          <wp:extent cx="1324573" cy="751584"/>
          <wp:effectExtent l="0" t="0" r="0" b="0"/>
          <wp:wrapSquare wrapText="bothSides" distT="0" distB="0" distL="114300" distR="114300"/>
          <wp:docPr id="18025987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24573" cy="751584"/>
                  </a:xfrm>
                  <a:prstGeom prst="rect">
                    <a:avLst/>
                  </a:prstGeom>
                  <a:ln/>
                </pic:spPr>
              </pic:pic>
            </a:graphicData>
          </a:graphic>
        </wp:anchor>
      </w:drawing>
    </w:r>
    <w:r>
      <w:rPr>
        <w:rFonts w:ascii="Trebuchet MS" w:eastAsia="Trebuchet MS" w:hAnsi="Trebuchet MS" w:cs="Trebuchet MS"/>
        <w:b/>
        <w:bCs/>
        <w:sz w:val="16"/>
        <w:szCs w:val="16"/>
      </w:rPr>
      <w:t xml:space="preserve">        </w:t>
    </w:r>
    <w:r>
      <w:rPr>
        <w:rFonts w:ascii="Trebuchet MS" w:eastAsia="Trebuchet MS" w:hAnsi="Trebuchet MS" w:cs="Trebuchet MS"/>
        <w:b/>
        <w:bCs/>
        <w:sz w:val="16"/>
        <w:szCs w:val="16"/>
      </w:rPr>
      <w:t>XLVI ENCONTRO NACIONAL DE ENGENHARIA DE PRODUÇÃO</w:t>
    </w:r>
  </w:p>
  <w:p w14:paraId="77DB1688" w14:textId="77777777" w:rsidR="00BB2459" w:rsidRDefault="00000000">
    <w:pPr>
      <w:spacing w:line="185" w:lineRule="auto"/>
      <w:ind w:right="102"/>
      <w:jc w:val="right"/>
      <w:rPr>
        <w:rFonts w:ascii="Trebuchet MS" w:eastAsia="Trebuchet MS" w:hAnsi="Trebuchet MS" w:cs="Trebuchet MS"/>
        <w:sz w:val="16"/>
        <w:szCs w:val="16"/>
      </w:rPr>
    </w:pPr>
    <w:r>
      <w:rPr>
        <w:rFonts w:ascii="Trebuchet MS" w:eastAsia="Trebuchet MS" w:hAnsi="Trebuchet MS" w:cs="Trebuchet MS"/>
        <w:sz w:val="16"/>
        <w:szCs w:val="16"/>
      </w:rPr>
      <w:t xml:space="preserve"> "Engenharia de Produção para a Transição Sustentável:</w:t>
    </w:r>
    <w:r>
      <w:rPr>
        <w:rFonts w:ascii="Trebuchet MS" w:eastAsia="Trebuchet MS" w:hAnsi="Trebuchet MS" w:cs="Trebuchet MS"/>
        <w:sz w:val="16"/>
        <w:szCs w:val="16"/>
      </w:rPr>
      <w:br/>
      <w:t xml:space="preserve"> Modelagem de Dados e Inovação"</w:t>
    </w:r>
  </w:p>
  <w:p w14:paraId="2AFC5F89" w14:textId="77777777" w:rsidR="00BB2459" w:rsidRDefault="00000000">
    <w:pPr>
      <w:ind w:right="102"/>
      <w:jc w:val="right"/>
      <w:rPr>
        <w:rFonts w:ascii="Trebuchet MS" w:eastAsia="Trebuchet MS" w:hAnsi="Trebuchet MS" w:cs="Trebuchet MS"/>
        <w:sz w:val="16"/>
        <w:szCs w:val="16"/>
      </w:rPr>
    </w:pPr>
    <w:r>
      <w:rPr>
        <w:rFonts w:ascii="Trebuchet MS" w:eastAsia="Trebuchet MS" w:hAnsi="Trebuchet MS" w:cs="Trebuchet MS"/>
        <w:color w:val="808080"/>
        <w:sz w:val="16"/>
        <w:szCs w:val="16"/>
      </w:rPr>
      <w:t>São Paulo/SP, 20 a 23 de outubro de 2026.</w:t>
    </w:r>
  </w:p>
  <w:p w14:paraId="2EE9D5A0" w14:textId="77777777" w:rsidR="00BB2459" w:rsidRDefault="00000000">
    <w:pPr>
      <w:spacing w:before="72" w:line="185" w:lineRule="auto"/>
      <w:rPr>
        <w:rFonts w:ascii="Trebuchet MS" w:eastAsia="Trebuchet MS" w:hAnsi="Trebuchet MS" w:cs="Trebuchet MS"/>
        <w:b/>
        <w:bCs/>
        <w:sz w:val="16"/>
        <w:szCs w:val="16"/>
      </w:rPr>
    </w:pPr>
    <w:r>
      <w:rPr>
        <w:rFonts w:ascii="Trebuchet MS" w:eastAsia="Trebuchet MS" w:hAnsi="Trebuchet MS" w:cs="Trebuchet MS"/>
        <w:b/>
        <w:bCs/>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F9A9"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B2DEA"/>
    <w:multiLevelType w:val="multilevel"/>
    <w:tmpl w:val="3DC632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EE332E"/>
    <w:multiLevelType w:val="multilevel"/>
    <w:tmpl w:val="5F385E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2D61C19"/>
    <w:multiLevelType w:val="multilevel"/>
    <w:tmpl w:val="369A07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7642769">
    <w:abstractNumId w:val="2"/>
  </w:num>
  <w:num w:numId="2" w16cid:durableId="1901792242">
    <w:abstractNumId w:val="0"/>
  </w:num>
  <w:num w:numId="3" w16cid:durableId="1768034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459"/>
    <w:rsid w:val="000F0EE8"/>
    <w:rsid w:val="00360CCA"/>
    <w:rsid w:val="00BB2459"/>
    <w:rsid w:val="00C626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F98C"/>
  <w15:docId w15:val="{8FA37DFC-73B3-4B20-9757-17EE3A1C7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178" w:hanging="241"/>
      <w:jc w:val="both"/>
      <w:outlineLvl w:val="0"/>
    </w:pPr>
    <w:rPr>
      <w:b/>
      <w:bCs/>
      <w:sz w:val="24"/>
      <w:szCs w:val="24"/>
    </w:rPr>
  </w:style>
  <w:style w:type="paragraph" w:styleId="Ttulo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178" w:hanging="241"/>
      <w:jc w:val="both"/>
    </w:pPr>
  </w:style>
  <w:style w:type="paragraph" w:customStyle="1" w:styleId="TableParagraph">
    <w:name w:val="Table Paragraph"/>
    <w:basedOn w:val="Normal"/>
    <w:uiPriority w:val="1"/>
    <w:qFormat/>
    <w:pPr>
      <w:jc w:val="center"/>
    </w:pPr>
  </w:style>
  <w:style w:type="character" w:styleId="Hyperlink">
    <w:name w:val="Hyperlink"/>
    <w:basedOn w:val="Fontepargpadro"/>
    <w:uiPriority w:val="99"/>
    <w:unhideWhenUsed/>
    <w:rsid w:val="000B63F5"/>
    <w:rPr>
      <w:color w:val="0000FF" w:themeColor="hyperlink"/>
      <w:u w:val="single"/>
    </w:rPr>
  </w:style>
  <w:style w:type="character" w:customStyle="1" w:styleId="Ttulo2Char">
    <w:name w:val="Título 2 Char"/>
    <w:basedOn w:val="Fontepargpadro"/>
    <w:uiPriority w:val="9"/>
    <w:rsid w:val="000B63F5"/>
    <w:rPr>
      <w:rFonts w:asciiTheme="majorHAnsi" w:eastAsiaTheme="majorEastAsia" w:hAnsiTheme="majorHAnsi" w:cstheme="majorBidi"/>
      <w:color w:val="365F91" w:themeColor="accent1" w:themeShade="BF"/>
      <w:sz w:val="26"/>
      <w:szCs w:val="26"/>
      <w:lang w:val="pt-PT" w:eastAsia="pt-PT" w:bidi="pt-PT"/>
    </w:rPr>
  </w:style>
  <w:style w:type="paragraph" w:styleId="Cabealho">
    <w:name w:val="header"/>
    <w:basedOn w:val="Normal"/>
    <w:link w:val="CabealhoChar"/>
    <w:uiPriority w:val="99"/>
    <w:rsid w:val="000B63F5"/>
    <w:pPr>
      <w:widowControl/>
      <w:tabs>
        <w:tab w:val="center" w:pos="4252"/>
        <w:tab w:val="right" w:pos="8504"/>
      </w:tabs>
    </w:pPr>
    <w:rPr>
      <w:sz w:val="24"/>
      <w:szCs w:val="24"/>
      <w:lang w:val="pt-BR"/>
    </w:rPr>
  </w:style>
  <w:style w:type="character" w:customStyle="1" w:styleId="CabealhoChar">
    <w:name w:val="Cabeçalho Char"/>
    <w:basedOn w:val="Fontepargpadro"/>
    <w:link w:val="Cabealho"/>
    <w:uiPriority w:val="99"/>
    <w:rsid w:val="000B63F5"/>
    <w:rPr>
      <w:rFonts w:ascii="Times New Roman" w:eastAsia="Times New Roman" w:hAnsi="Times New Roman" w:cs="Times New Roman"/>
      <w:sz w:val="24"/>
      <w:szCs w:val="24"/>
      <w:lang w:val="pt-BR" w:eastAsia="pt-BR"/>
    </w:rPr>
  </w:style>
  <w:style w:type="paragraph" w:styleId="Rodap">
    <w:name w:val="footer"/>
    <w:basedOn w:val="Normal"/>
    <w:link w:val="RodapChar"/>
    <w:uiPriority w:val="99"/>
    <w:rsid w:val="000B63F5"/>
    <w:pPr>
      <w:widowControl/>
      <w:tabs>
        <w:tab w:val="center" w:pos="4252"/>
        <w:tab w:val="right" w:pos="8504"/>
      </w:tabs>
    </w:pPr>
    <w:rPr>
      <w:sz w:val="24"/>
      <w:szCs w:val="24"/>
      <w:lang w:val="pt-BR"/>
    </w:rPr>
  </w:style>
  <w:style w:type="character" w:customStyle="1" w:styleId="RodapChar">
    <w:name w:val="Rodapé Char"/>
    <w:basedOn w:val="Fontepargpadro"/>
    <w:link w:val="Rodap"/>
    <w:uiPriority w:val="99"/>
    <w:rsid w:val="000B63F5"/>
    <w:rPr>
      <w:rFonts w:ascii="Times New Roman" w:eastAsia="Times New Roman" w:hAnsi="Times New Roman" w:cs="Times New Roman"/>
      <w:sz w:val="24"/>
      <w:szCs w:val="24"/>
      <w:lang w:val="pt-BR" w:eastAsia="pt-BR"/>
    </w:rPr>
  </w:style>
  <w:style w:type="paragraph" w:customStyle="1" w:styleId="figura">
    <w:name w:val="figura"/>
    <w:basedOn w:val="Normal"/>
    <w:rsid w:val="000B63F5"/>
    <w:pPr>
      <w:widowControl/>
      <w:spacing w:before="100" w:beforeAutospacing="1" w:after="100" w:afterAutospacing="1"/>
    </w:pPr>
    <w:rPr>
      <w:rFonts w:ascii="Tahoma" w:hAnsi="Tahoma" w:cs="Tahoma"/>
      <w:sz w:val="17"/>
      <w:szCs w:val="17"/>
      <w:lang w:val="pt-BR"/>
    </w:rPr>
  </w:style>
  <w:style w:type="character" w:styleId="Forte">
    <w:name w:val="Strong"/>
    <w:uiPriority w:val="22"/>
    <w:qFormat/>
    <w:rsid w:val="000B63F5"/>
    <w:rPr>
      <w:b/>
      <w:bCs/>
    </w:rPr>
  </w:style>
  <w:style w:type="paragraph" w:customStyle="1" w:styleId="tabelacabealho">
    <w:name w:val="tabelacabealho"/>
    <w:basedOn w:val="Normal"/>
    <w:rsid w:val="000B63F5"/>
    <w:pPr>
      <w:widowControl/>
      <w:spacing w:before="100" w:beforeAutospacing="1" w:after="100" w:afterAutospacing="1"/>
    </w:pPr>
    <w:rPr>
      <w:rFonts w:ascii="Tahoma" w:hAnsi="Tahoma" w:cs="Tahoma"/>
      <w:sz w:val="17"/>
      <w:szCs w:val="17"/>
      <w:lang w:val="pt-BR"/>
    </w:rPr>
  </w:style>
  <w:style w:type="paragraph" w:customStyle="1" w:styleId="tabelacorpo">
    <w:name w:val="tabelacorpo"/>
    <w:basedOn w:val="Normal"/>
    <w:rsid w:val="000B63F5"/>
    <w:pPr>
      <w:widowControl/>
      <w:spacing w:before="100" w:beforeAutospacing="1" w:after="100" w:afterAutospacing="1"/>
    </w:pPr>
    <w:rPr>
      <w:rFonts w:ascii="Tahoma" w:hAnsi="Tahoma" w:cs="Tahoma"/>
      <w:sz w:val="17"/>
      <w:szCs w:val="17"/>
      <w:lang w:val="pt-BR"/>
    </w:rPr>
  </w:style>
  <w:style w:type="character" w:styleId="Nmerodelinha">
    <w:name w:val="line number"/>
    <w:basedOn w:val="Fontepargpadro"/>
    <w:uiPriority w:val="99"/>
    <w:semiHidden/>
    <w:unhideWhenUsed/>
    <w:rsid w:val="00820EE4"/>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BSi6f6Jua8k2iLX1wB/7DUXkpA==">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1891</Words>
  <Characters>10217</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Mathias</dc:creator>
  <cp:lastModifiedBy>Roberto Fuentes</cp:lastModifiedBy>
  <cp:revision>2</cp:revision>
  <dcterms:created xsi:type="dcterms:W3CDTF">2020-02-20T16:53:00Z</dcterms:created>
  <dcterms:modified xsi:type="dcterms:W3CDTF">2026-03-06T18:12:00Z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2020-01-14T00:00:00Z</vt:filetime>
  </property>
  <property fmtid="{D5CDD505-2E9C-101B-9397-08002B2CF9AE}" pid="3" name="Creator">
    <vt:lpwstr>Microsoft® Word 2016</vt:lpwstr>
  </property>
  <property fmtid="{D5CDD505-2E9C-101B-9397-08002B2CF9AE}" pid="4" name="LastSaved">
    <vt:filetime>2020-02-20T00:00:00Z</vt:filetime>
  </property>
</Properties>
</file>