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3 / Tarefa 48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Foco visível, focus trap, aria-live, títulos por rota e contraste AA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Acessibilidade significa que uma pessoa usando teclado ou leitor de tela consegue usar o app por inteiro. A auditoria de 10/06 encontrou vários pontos onde isso falhava, e esta entrega os corrige de uma vez.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As correções incluem: indicador de foco global com contraste real (outline azul UnB + halo amarelo — o amarelo sozinho dava ~1.7:1, quase invisível); focus trap em modais com foco inicial e devolução; toasts com aria-live persistente que anunciam de verdade; document.title por rota e skip-link; aria-invalid/aria-describedby nos formulários; markdown da síntese renderizado de verdade (em vez de texto bruto ilegível em &lt;pre&gt;); badges com contraste AA; e a grade de horários com aria-label e correção do grid-row fracionário.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Além de ser requisito (WCAG 1.4.11, contraste de indicador de foco ≥ 3:1), acessibilidade é parte da qualidade do produto: um aluno com leitor de tela precisava conseguir saber que "o documento ficou pronto". Esta entrega torna a jornada utilizável por todos.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— Tarefa 48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Acessibilidade e Responsividade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H17 - Acessibilidade WCAG 2.1 AA e multi-tela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A11y WCAG 2.1 AA: foco, focus trap, aria-live, title por rota, aria-invalid, contraste, markdown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c216a5b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Elevar o frontend ao patamar WCAG 2.1 AA nos pontos sinalizados pela auditoria: foco visível com contraste, navegação por teclado em modais, anúncios de leitor de tela, títulos por rota, semântica de formulários e renderização legível do conteúdo.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Indicador de foco com contraste ≥ 3:1 (azul UnB + halo amarelo); modais com focus trap, foco inicial e devolução; toasts anunciados via aria-live; document.title por rota + skip-link; formulários com aria-invalid/aria-describedby; síntese renderizada como markdown; badges em AA; grade com aria-label.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Correções WCAG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Área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Correção (achado 06-10)</w:t>
            </w:r>
          </w:p>
        </w:tc>
      </w:tr>
      <w:t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Foco global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Outline azul UnB (#003366) + halo amarelo (#FFB81C). Contraste 1.7:1 → 12:1 (#2, WCAG 1.4.11).</w:t>
            </w:r>
          </w:p>
        </w:tc>
      </w:tr>
      <w:t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Modais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Focus trap, foco inicial e devolução de foco (#6).</w:t>
            </w:r>
          </w:p>
        </w:tc>
      </w:tr>
      <w:t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Toasts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aria-live persistente; viewport não desmonta vazio (#8).</w:t>
            </w:r>
          </w:p>
        </w:tc>
      </w:tr>
      <w:t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Navegação SPA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document.title por rota, skip-link, gestão de foco na troca de página (#10).</w:t>
            </w:r>
          </w:p>
        </w:tc>
      </w:tr>
      <w:t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Conteúdo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Síntese renderizada com react-markdown + remark-gfm (lazy), sem dangerouslySetInnerHTML (#11).</w:t>
            </w:r>
          </w:p>
        </w:tc>
      </w:tr>
      <w:t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aria-invalid / aria-describedby nos erros (#47).</w:t>
            </w:r>
          </w:p>
        </w:tc>
      </w:tr>
      <w:t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Badges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tone-warn / tone-success em contraste AA (#9).</w:t>
            </w:r>
          </w:p>
        </w:tc>
      </w:tr>
      <w:t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Grade de horários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aria-label nos blocos; fix do grid-row fracionário (#18, #43).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Navegação completa por teclado com foco sempre visível.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Leitor de tela anuncia "Documento pronto" via toast.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rota tem título próprio; skip-link funciona.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Síntese aparece como markdown formatado, não texto cru.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Origem: auditoria 2026-06-10 (#2,6,8,9,10,11,18,43,45,46,47). Relaciona-se com: T49 (responsividade), Sprint 5 (jornada).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Jornada do cliente utilizável por leitor de tela e teclado.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Conformidade a ser citada na metodologia do artigo.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3 / Tarefa 48</dc:title>
  <dc:creator>PSP2 IA Universitários</dc:creator>
  <dc:description>Foco visível, focus trap, aria-live, títulos por rota e contraste AA</dc:description>
  <cp:lastModifiedBy>Un-named</cp:lastModifiedBy>
  <cp:revision>1</cp:revision>
  <dcterms:created xsi:type="dcterms:W3CDTF">2026-06-18T15:22:51.957Z</dcterms:created>
  <dcterms:modified xsi:type="dcterms:W3CDTF">2026-06-18T15:22:51.957Z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