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PSP2 — Entrega Sprint 5 / Tarefa 59</w:t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595959"/>
          <w:sz w:val="26"/>
          <w:szCs w:val="26"/>
        </w:rPr>
        <w:t xml:space="preserve">Login/cadastro com magic link, força de senha e identidade visual UnB</w:t>
      </w:r>
    </w:p>
    <w:p>
      <w:pPr>
        <w:pBdr>
          <w:bottom w:val="single" w:color="1F3864" w:sz="8" w:space="1"/>
        </w:pBdr>
        <w:spacing w:after="24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📖 Em palavras simples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A primeira etapa da jornada é entrar no produto. Esta entrega entrega a porta de entrada: tela de login/cadastro com três modos (email+senha, magic link e o caminho preparado para Google), indicador visual de força de senha, e o redesign completo com a identidade visual da UnB.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A identidade UnB aplica a paleta oficial (verde #005923, azul #003366, amarelo #FFB81C) como CSS vars, um logo SVG inline (sem asset externo) e o redesign de login (split-screen com pitch institucional), topbar, dashboard e configurações. O magic link permite acesso sem senha (signInWithOtp), útil também para recrutar testadores.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Por que isso importa? O primeiro contato define a percepção do produto. Uma entrada com identidade UnB reforça o pertencimento do público-alvo e diferencia de um template genérico — e os três modos de login reduzem o atrito de cadastro.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Identificação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Sprint 5 — Tarefa 59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Épico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Aquisição e Onboarding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História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H21 - Entrada e ativação do aluno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Tarefa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Login/cadastro + magic link + força de senha + identidade visual UnB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Pedro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Planning Poker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de início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15/06/2026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de entrega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25/06/2026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Concluído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Commits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f2617ed</w:t>
            </w:r>
          </w:p>
        </w:tc>
      </w:tr>
    </w:tbl>
    <w:p>
      <w:pPr>
        <w:spacing w:after="180"/>
      </w:pP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Objetivo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Entregar a entrada do aluno no produto com autenticação flexível (email+senha, magic link), indicador de força de senha e a identidade visual UnB aplicada de forma consistente.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Critério de aceitação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Login com email+senha, magic link e indicador de força de senha; paleta UnB em CSS vars; logo SVG inline; redesign de login/topbar/dashboard/configurações consistente com o design system.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Conteúdo da entrega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4.1. Autenticação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Email + senha (política forte: 12+ chars, maiúscula/minúscula/dígito) com indicador visual (4 barras, score 0–4).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Magic link via signInWithOtp (acesso sem senha; recuperação implícita).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Toasts cobrindo sucesso/erro de cada fluxo (login, signup, magic link).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4.2. Identidade visual UnB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Paleta oficial como CSS vars no :root (verde --primary, azul --secondary, amarelo --accent).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UnbLogo.tsx (SVG inline, sem dependência de asset externo).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Redesign: login split-screen, topbar com NavLinks, dashboard com cards/sombra, configurações em seções.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Validação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Login funciona nos três modos com feedback (toast) em cada caso.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Indicador de força de senha reflete a política.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Identidade UnB consistente entre telas; sem paleta paralela.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Dependências e próximos passos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Relaciona-se com: T60 (consentimento), Sprint 3 T48/T49 (a11y/tema). Habilita: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T60 — consentimento LGPD no signup.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T61 — onboarding pós-cadastro.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PSP2 — Entrega Sprint 5 / Tarefa 59</dc:title>
  <dc:creator>PSP2 IA Universitários</dc:creator>
  <dc:description>Login/cadastro com magic link, força de senha e identidade visual UnB</dc:description>
  <cp:lastModifiedBy>Un-named</cp:lastModifiedBy>
  <cp:revision>1</cp:revision>
  <dcterms:created xsi:type="dcterms:W3CDTF">2026-06-18T15:22:52.065Z</dcterms:created>
  <dcterms:modified xsi:type="dcterms:W3CDTF">2026-06-18T15:22:52.065Z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