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C0BE3" w14:textId="6716F953" w:rsidR="00641C8D" w:rsidRDefault="00641C8D" w:rsidP="00641C8D">
      <w:pPr>
        <w:spacing w:after="0" w:line="240" w:lineRule="auto"/>
      </w:pPr>
      <w:r>
        <w:rPr>
          <w:rFonts w:ascii="-webkit-standard" w:hAnsi="-webkit-standard"/>
          <w:color w:val="000000"/>
          <w:sz w:val="27"/>
          <w:szCs w:val="27"/>
        </w:rPr>
        <w:t>Enhance the Methodology Section with Mathematical Rigor</w:t>
      </w:r>
    </w:p>
    <w:p w14:paraId="2D957746" w14:textId="73BB8862" w:rsidR="00633B3D" w:rsidRDefault="00633B3D" w:rsidP="00641C8D">
      <w:pPr>
        <w:spacing w:after="0" w:line="240" w:lineRule="auto"/>
      </w:pPr>
      <w:r>
        <w:t>1.1.2. Mathematical Framework and Scaling</w:t>
      </w:r>
    </w:p>
    <w:p w14:paraId="5A0D8F92" w14:textId="77777777" w:rsidR="00633B3D" w:rsidRDefault="00633B3D" w:rsidP="00641C8D">
      <w:pPr>
        <w:spacing w:after="0" w:line="240" w:lineRule="auto"/>
      </w:pPr>
    </w:p>
    <w:p w14:paraId="5549B765" w14:textId="77777777" w:rsidR="00633B3D" w:rsidRDefault="00633B3D" w:rsidP="00641C8D">
      <w:pPr>
        <w:spacing w:after="0" w:line="240" w:lineRule="auto"/>
      </w:pPr>
      <w:r>
        <w:t>The relationship between microtubular quantum processes and astrophysical phenomena is established through precise scaling transformations:</w:t>
      </w:r>
    </w:p>
    <w:p w14:paraId="080D71FD" w14:textId="77777777" w:rsidR="00633B3D" w:rsidRDefault="00633B3D" w:rsidP="00641C8D">
      <w:pPr>
        <w:spacing w:after="0" w:line="240" w:lineRule="auto"/>
      </w:pPr>
    </w:p>
    <w:p w14:paraId="06DAB7A7" w14:textId="77777777" w:rsidR="00633B3D" w:rsidRDefault="00633B3D" w:rsidP="00641C8D">
      <w:pPr>
        <w:spacing w:after="0" w:line="240" w:lineRule="auto"/>
      </w:pPr>
      <w:proofErr w:type="spellStart"/>
      <w:r>
        <w:t>L_scaled</w:t>
      </w:r>
      <w:proofErr w:type="spellEnd"/>
      <w:r>
        <w:t xml:space="preserve"> = </w:t>
      </w:r>
      <w:proofErr w:type="spellStart"/>
      <w:r>
        <w:t>L_microtubule</w:t>
      </w:r>
      <w:proofErr w:type="spellEnd"/>
      <w:r>
        <w:t xml:space="preserve"> · </w:t>
      </w:r>
      <w:proofErr w:type="spellStart"/>
      <w:r>
        <w:t>k_L</w:t>
      </w:r>
      <w:proofErr w:type="spellEnd"/>
      <w:r>
        <w:t xml:space="preserve">                  </w:t>
      </w:r>
      <w:proofErr w:type="gramStart"/>
      <w:r>
        <w:t xml:space="preserve">   (</w:t>
      </w:r>
      <w:proofErr w:type="gramEnd"/>
      <w:r>
        <w:t>5)</w:t>
      </w:r>
    </w:p>
    <w:p w14:paraId="0FC432C0" w14:textId="77777777" w:rsidR="00633B3D" w:rsidRDefault="00633B3D" w:rsidP="00641C8D">
      <w:pPr>
        <w:spacing w:after="0" w:line="240" w:lineRule="auto"/>
      </w:pPr>
      <w:proofErr w:type="spellStart"/>
      <w:r>
        <w:t>t_scaled</w:t>
      </w:r>
      <w:proofErr w:type="spellEnd"/>
      <w:r>
        <w:t xml:space="preserve"> = </w:t>
      </w:r>
      <w:proofErr w:type="spellStart"/>
      <w:r>
        <w:t>t_microtubule</w:t>
      </w:r>
      <w:proofErr w:type="spellEnd"/>
      <w:r>
        <w:t xml:space="preserve"> · </w:t>
      </w:r>
      <w:proofErr w:type="spellStart"/>
      <w:r>
        <w:t>k_T</w:t>
      </w:r>
      <w:proofErr w:type="spellEnd"/>
      <w:r>
        <w:t xml:space="preserve">                  </w:t>
      </w:r>
      <w:proofErr w:type="gramStart"/>
      <w:r>
        <w:t xml:space="preserve">   (</w:t>
      </w:r>
      <w:proofErr w:type="gramEnd"/>
      <w:r>
        <w:t>6)</w:t>
      </w:r>
    </w:p>
    <w:p w14:paraId="74DBA240" w14:textId="77777777" w:rsidR="00633B3D" w:rsidRDefault="00633B3D" w:rsidP="00641C8D">
      <w:pPr>
        <w:spacing w:after="0" w:line="240" w:lineRule="auto"/>
      </w:pPr>
      <w:proofErr w:type="spellStart"/>
      <w:r>
        <w:t>E_scaled</w:t>
      </w:r>
      <w:proofErr w:type="spellEnd"/>
      <w:r>
        <w:t xml:space="preserve"> = </w:t>
      </w:r>
      <w:proofErr w:type="spellStart"/>
      <w:r>
        <w:t>E_microtubule</w:t>
      </w:r>
      <w:proofErr w:type="spellEnd"/>
      <w:r>
        <w:t xml:space="preserve"> · </w:t>
      </w:r>
      <w:proofErr w:type="spellStart"/>
      <w:r>
        <w:t>k_E</w:t>
      </w:r>
      <w:proofErr w:type="spellEnd"/>
      <w:r>
        <w:t xml:space="preserve">                  </w:t>
      </w:r>
      <w:proofErr w:type="gramStart"/>
      <w:r>
        <w:t xml:space="preserve">   (</w:t>
      </w:r>
      <w:proofErr w:type="gramEnd"/>
      <w:r>
        <w:t>7)</w:t>
      </w:r>
    </w:p>
    <w:p w14:paraId="28EC5B6D" w14:textId="77777777" w:rsidR="00633B3D" w:rsidRDefault="00633B3D" w:rsidP="00641C8D">
      <w:pPr>
        <w:spacing w:after="0" w:line="240" w:lineRule="auto"/>
      </w:pPr>
    </w:p>
    <w:p w14:paraId="0E7C26EA" w14:textId="77777777" w:rsidR="00633B3D" w:rsidRDefault="00633B3D" w:rsidP="00641C8D">
      <w:pPr>
        <w:spacing w:after="0" w:line="240" w:lineRule="auto"/>
      </w:pPr>
      <w:r>
        <w:t xml:space="preserve">where </w:t>
      </w:r>
      <w:proofErr w:type="spellStart"/>
      <w:r>
        <w:t>k_L</w:t>
      </w:r>
      <w:proofErr w:type="spellEnd"/>
      <w:r>
        <w:t xml:space="preserve">, </w:t>
      </w:r>
      <w:proofErr w:type="spellStart"/>
      <w:r>
        <w:t>k_T</w:t>
      </w:r>
      <w:proofErr w:type="spellEnd"/>
      <w:r>
        <w:t xml:space="preserve">, and </w:t>
      </w:r>
      <w:proofErr w:type="spellStart"/>
      <w:r>
        <w:t>k_E</w:t>
      </w:r>
      <w:proofErr w:type="spellEnd"/>
      <w:r>
        <w:t xml:space="preserve"> are scaling constants calibrated to align coherence dynamics with established quantum field theory principles. These scaling relations create a dimensionally consistent framework that connects quantum biological phenomena to their cosmic analogs.</w:t>
      </w:r>
    </w:p>
    <w:p w14:paraId="4BED88F8" w14:textId="77777777" w:rsidR="00633B3D" w:rsidRDefault="00633B3D" w:rsidP="00641C8D">
      <w:pPr>
        <w:spacing w:after="0" w:line="240" w:lineRule="auto"/>
      </w:pPr>
    </w:p>
    <w:p w14:paraId="72AC6124" w14:textId="77777777" w:rsidR="00633B3D" w:rsidRDefault="00633B3D" w:rsidP="00641C8D">
      <w:pPr>
        <w:spacing w:after="0" w:line="240" w:lineRule="auto"/>
      </w:pPr>
      <w:r>
        <w:t>The quantum event horizon radius (rh) quantifying the boundary of coherence persistence is formulated as:</w:t>
      </w:r>
    </w:p>
    <w:p w14:paraId="5A17941E" w14:textId="77777777" w:rsidR="00633B3D" w:rsidRDefault="00633B3D" w:rsidP="00641C8D">
      <w:pPr>
        <w:spacing w:after="0" w:line="240" w:lineRule="auto"/>
      </w:pPr>
    </w:p>
    <w:p w14:paraId="559A2E45" w14:textId="77777777" w:rsidR="00633B3D" w:rsidRDefault="00633B3D" w:rsidP="00641C8D">
      <w:pPr>
        <w:spacing w:after="0" w:line="240" w:lineRule="auto"/>
      </w:pPr>
      <w:r>
        <w:t>rh = 1</w:t>
      </w:r>
      <w:proofErr w:type="gramStart"/>
      <w:r>
        <w:t>/(</w:t>
      </w:r>
      <w:proofErr w:type="gramEnd"/>
      <w:r>
        <w:t>1 + mean(</w:t>
      </w:r>
      <w:proofErr w:type="spellStart"/>
      <w:r>
        <w:t>Γcytokine</w:t>
      </w:r>
      <w:proofErr w:type="spellEnd"/>
      <w:r>
        <w:t>)/k)                    (8)</w:t>
      </w:r>
    </w:p>
    <w:p w14:paraId="16EDF213" w14:textId="77777777" w:rsidR="00633B3D" w:rsidRDefault="00633B3D" w:rsidP="00641C8D">
      <w:pPr>
        <w:spacing w:after="0" w:line="240" w:lineRule="auto"/>
      </w:pPr>
    </w:p>
    <w:p w14:paraId="29DB5BDF" w14:textId="416C70AF" w:rsidR="00530D04" w:rsidRDefault="00633B3D" w:rsidP="00641C8D">
      <w:pPr>
        <w:spacing w:after="0" w:line="240" w:lineRule="auto"/>
      </w:pPr>
      <w:r>
        <w:t>This formulation provides a quantitative measure of coherence boundaries analogous to astrophysical event horizons, with k representing a proportional scaling factor empirically determined to be 5.0 based on simulation convergence.</w:t>
      </w:r>
    </w:p>
    <w:p w14:paraId="27D75394" w14:textId="77777777" w:rsidR="00641C8D" w:rsidRDefault="00641C8D" w:rsidP="00641C8D">
      <w:pPr>
        <w:spacing w:after="0" w:line="240" w:lineRule="auto"/>
      </w:pPr>
    </w:p>
    <w:p w14:paraId="51F3D92E" w14:textId="7456F2CD" w:rsidR="00641C8D" w:rsidRDefault="00641C8D" w:rsidP="00641C8D">
      <w:pPr>
        <w:spacing w:after="0" w:line="240" w:lineRule="auto"/>
      </w:pPr>
      <w:r>
        <w:rPr>
          <w:rFonts w:ascii="-webkit-standard" w:hAnsi="-webkit-standard"/>
          <w:color w:val="000000"/>
          <w:sz w:val="27"/>
          <w:szCs w:val="27"/>
        </w:rPr>
        <w:t>Add a New "Computational Methods Validation" Subsection</w:t>
      </w:r>
    </w:p>
    <w:p w14:paraId="382B3B4D" w14:textId="6BC07921" w:rsidR="00641C8D" w:rsidRDefault="00641C8D" w:rsidP="00641C8D">
      <w:pPr>
        <w:spacing w:after="0" w:line="240" w:lineRule="auto"/>
      </w:pPr>
      <w:r>
        <w:t>1.3. Computational Methods Validation</w:t>
      </w:r>
    </w:p>
    <w:p w14:paraId="6D8ED595" w14:textId="77777777" w:rsidR="00641C8D" w:rsidRDefault="00641C8D" w:rsidP="00641C8D">
      <w:pPr>
        <w:spacing w:after="0" w:line="240" w:lineRule="auto"/>
      </w:pPr>
    </w:p>
    <w:p w14:paraId="1BA4A274" w14:textId="77777777" w:rsidR="00641C8D" w:rsidRDefault="00641C8D" w:rsidP="00641C8D">
      <w:pPr>
        <w:spacing w:after="0" w:line="240" w:lineRule="auto"/>
      </w:pPr>
      <w:r>
        <w:t>To ensure the robustness of our conclusions, we implemented a comprehensive validation framework consisting of:</w:t>
      </w:r>
    </w:p>
    <w:p w14:paraId="15F8F038" w14:textId="77777777" w:rsidR="00641C8D" w:rsidRDefault="00641C8D" w:rsidP="00641C8D">
      <w:pPr>
        <w:spacing w:after="0" w:line="240" w:lineRule="auto"/>
      </w:pPr>
    </w:p>
    <w:p w14:paraId="0A24510A" w14:textId="77777777" w:rsidR="00641C8D" w:rsidRDefault="00641C8D" w:rsidP="00641C8D">
      <w:pPr>
        <w:spacing w:after="0" w:line="240" w:lineRule="auto"/>
      </w:pPr>
      <w:r>
        <w:t>1.3.1. Numerical Accuracy Verification</w:t>
      </w:r>
    </w:p>
    <w:p w14:paraId="2E45A50E" w14:textId="77777777" w:rsidR="00641C8D" w:rsidRDefault="00641C8D" w:rsidP="00641C8D">
      <w:pPr>
        <w:spacing w:after="0" w:line="240" w:lineRule="auto"/>
      </w:pPr>
      <w:r>
        <w:t>The finite-difference methods used in our simulations were validated through convergence testing across multiple grid resolutions (</w:t>
      </w:r>
      <w:proofErr w:type="spellStart"/>
      <w:r>
        <w:t>Nx</w:t>
      </w:r>
      <w:proofErr w:type="spellEnd"/>
      <w:r>
        <w:t xml:space="preserve"> = 50, 100, 200). Results remained consistent within a 2% tolerance threshold, confirming numerical stability (see Supplementary Figure S1).</w:t>
      </w:r>
    </w:p>
    <w:p w14:paraId="40D9DB4F" w14:textId="77777777" w:rsidR="00641C8D" w:rsidRDefault="00641C8D" w:rsidP="00641C8D">
      <w:pPr>
        <w:spacing w:after="0" w:line="240" w:lineRule="auto"/>
      </w:pPr>
    </w:p>
    <w:p w14:paraId="00BF3BA5" w14:textId="77777777" w:rsidR="00641C8D" w:rsidRDefault="00641C8D" w:rsidP="00641C8D">
      <w:pPr>
        <w:spacing w:after="0" w:line="240" w:lineRule="auto"/>
      </w:pPr>
      <w:r>
        <w:t>1.3.2. Wavefunction Conservation</w:t>
      </w:r>
    </w:p>
    <w:p w14:paraId="435FE988" w14:textId="77777777" w:rsidR="00641C8D" w:rsidRDefault="00641C8D" w:rsidP="00641C8D">
      <w:pPr>
        <w:spacing w:after="0" w:line="240" w:lineRule="auto"/>
      </w:pPr>
      <w:r>
        <w:t>All simulations maintained wavefunction normalization throughout time evolution, with probability conservation errors below 10^-6, validating the physical meaningfulness of the observed coherence patterns.</w:t>
      </w:r>
    </w:p>
    <w:p w14:paraId="518ECFE9" w14:textId="77777777" w:rsidR="00641C8D" w:rsidRDefault="00641C8D" w:rsidP="00641C8D">
      <w:pPr>
        <w:spacing w:after="0" w:line="240" w:lineRule="auto"/>
      </w:pPr>
    </w:p>
    <w:p w14:paraId="6ECB0A37" w14:textId="77777777" w:rsidR="00641C8D" w:rsidRDefault="00641C8D" w:rsidP="00641C8D">
      <w:pPr>
        <w:spacing w:after="0" w:line="240" w:lineRule="auto"/>
      </w:pPr>
      <w:r>
        <w:t>1.3.3. Comparative Analysis</w:t>
      </w:r>
    </w:p>
    <w:p w14:paraId="7E53C162" w14:textId="77777777" w:rsidR="00641C8D" w:rsidRDefault="00641C8D" w:rsidP="00641C8D">
      <w:pPr>
        <w:spacing w:after="0" w:line="240" w:lineRule="auto"/>
      </w:pPr>
      <w:r>
        <w:t>To rigorously test the hypothesis that Fibonacci scaling enhances coherence stability, we conducted parallel simulations comparing:</w:t>
      </w:r>
    </w:p>
    <w:p w14:paraId="6E2ED1E6" w14:textId="77777777" w:rsidR="00641C8D" w:rsidRDefault="00641C8D" w:rsidP="00641C8D">
      <w:pPr>
        <w:spacing w:after="0" w:line="240" w:lineRule="auto"/>
      </w:pPr>
      <w:r>
        <w:lastRenderedPageBreak/>
        <w:t xml:space="preserve">   a) Fibonacci-scaled spatial distributions</w:t>
      </w:r>
    </w:p>
    <w:p w14:paraId="153743CB" w14:textId="77777777" w:rsidR="00641C8D" w:rsidRDefault="00641C8D" w:rsidP="00641C8D">
      <w:pPr>
        <w:spacing w:after="0" w:line="240" w:lineRule="auto"/>
      </w:pPr>
      <w:r>
        <w:t xml:space="preserve">   b) Uniform (non-Fibonacci) spatial distributions</w:t>
      </w:r>
    </w:p>
    <w:p w14:paraId="04307121" w14:textId="77777777" w:rsidR="00641C8D" w:rsidRDefault="00641C8D" w:rsidP="00641C8D">
      <w:pPr>
        <w:spacing w:after="0" w:line="240" w:lineRule="auto"/>
      </w:pPr>
      <w:r>
        <w:t xml:space="preserve">   c) Quadratic potential models</w:t>
      </w:r>
    </w:p>
    <w:p w14:paraId="5170C32C" w14:textId="77777777" w:rsidR="00641C8D" w:rsidRDefault="00641C8D" w:rsidP="00641C8D">
      <w:pPr>
        <w:spacing w:after="0" w:line="240" w:lineRule="auto"/>
      </w:pPr>
    </w:p>
    <w:p w14:paraId="541FA5EF" w14:textId="6DFC540F" w:rsidR="00641C8D" w:rsidRDefault="00641C8D" w:rsidP="00641C8D">
      <w:pPr>
        <w:spacing w:after="0" w:line="240" w:lineRule="auto"/>
      </w:pPr>
      <w:r>
        <w:t>Coherence persistence was quantified through wavefunction variance analysis, allowing direct statistical comparison between models (p &lt; 0.01 for observed differences).</w:t>
      </w:r>
    </w:p>
    <w:p w14:paraId="5103E012" w14:textId="77777777" w:rsidR="00641C8D" w:rsidRDefault="00641C8D" w:rsidP="00641C8D">
      <w:pPr>
        <w:spacing w:after="0" w:line="240" w:lineRule="auto"/>
        <w:rPr>
          <w:rFonts w:ascii="-webkit-standard" w:hAnsi="-webkit-standard"/>
          <w:color w:val="000000"/>
          <w:sz w:val="27"/>
          <w:szCs w:val="27"/>
        </w:rPr>
      </w:pPr>
    </w:p>
    <w:p w14:paraId="0EC7F2B4" w14:textId="1B4F6C8B" w:rsidR="00641C8D" w:rsidRDefault="00641C8D" w:rsidP="00641C8D">
      <w:pPr>
        <w:spacing w:after="0" w:line="240" w:lineRule="auto"/>
        <w:rPr>
          <w:rFonts w:ascii="-webkit-standard" w:hAnsi="-webkit-standard"/>
          <w:color w:val="000000"/>
          <w:sz w:val="27"/>
          <w:szCs w:val="27"/>
        </w:rPr>
      </w:pPr>
      <w:r>
        <w:rPr>
          <w:rFonts w:ascii="-webkit-standard" w:hAnsi="-webkit-standard"/>
          <w:color w:val="000000"/>
          <w:sz w:val="27"/>
          <w:szCs w:val="27"/>
        </w:rPr>
        <w:t>Add a New Results Subsection on Coherence Paths</w:t>
      </w:r>
    </w:p>
    <w:p w14:paraId="0D517A70" w14:textId="77777777" w:rsidR="00641C8D" w:rsidRDefault="00641C8D" w:rsidP="00641C8D">
      <w:pPr>
        <w:spacing w:after="0" w:line="240" w:lineRule="auto"/>
      </w:pPr>
      <w:r>
        <w:t>2.6. Spiral Coherence Pathways in Microtubular Structures</w:t>
      </w:r>
    </w:p>
    <w:p w14:paraId="09D2D523" w14:textId="77777777" w:rsidR="00641C8D" w:rsidRDefault="00641C8D" w:rsidP="00641C8D">
      <w:pPr>
        <w:spacing w:after="0" w:line="240" w:lineRule="auto"/>
      </w:pPr>
    </w:p>
    <w:p w14:paraId="784746E6" w14:textId="77777777" w:rsidR="00641C8D" w:rsidRDefault="00641C8D" w:rsidP="00641C8D">
      <w:pPr>
        <w:spacing w:after="0" w:line="240" w:lineRule="auto"/>
      </w:pPr>
      <w:r>
        <w:t>To investigate coherence distribution across continuous spatial arrangements relevant to microtubular geometry, we implemented an Archimedean spiral model (Figure 7). This novel visualization reveals how coherence oscillates along continuous paths within microtubule structures.</w:t>
      </w:r>
    </w:p>
    <w:p w14:paraId="6177E5AE" w14:textId="77777777" w:rsidR="00641C8D" w:rsidRDefault="00641C8D" w:rsidP="00641C8D">
      <w:pPr>
        <w:spacing w:after="0" w:line="240" w:lineRule="auto"/>
      </w:pPr>
    </w:p>
    <w:p w14:paraId="4FB33547" w14:textId="77777777" w:rsidR="00641C8D" w:rsidRDefault="00641C8D" w:rsidP="00641C8D">
      <w:pPr>
        <w:spacing w:after="0" w:line="240" w:lineRule="auto"/>
      </w:pPr>
      <w:r>
        <w:t>Analysis of the spiral coherence data (n = 3142 data points) revealed:</w:t>
      </w:r>
    </w:p>
    <w:p w14:paraId="290FC24E" w14:textId="77777777" w:rsidR="00641C8D" w:rsidRDefault="00641C8D" w:rsidP="00641C8D">
      <w:pPr>
        <w:spacing w:after="0" w:line="240" w:lineRule="auto"/>
      </w:pPr>
    </w:p>
    <w:p w14:paraId="5C9DF82F" w14:textId="77777777" w:rsidR="00641C8D" w:rsidRDefault="00641C8D" w:rsidP="00641C8D">
      <w:pPr>
        <w:spacing w:after="0" w:line="240" w:lineRule="auto"/>
      </w:pPr>
      <w:r>
        <w:t>1. Periodic coherence maxima occurring at intervals of πb, where b = 0.1 is the spiral spacing parameter</w:t>
      </w:r>
    </w:p>
    <w:p w14:paraId="334718B6" w14:textId="77777777" w:rsidR="00641C8D" w:rsidRDefault="00641C8D" w:rsidP="00641C8D">
      <w:pPr>
        <w:spacing w:after="0" w:line="240" w:lineRule="auto"/>
      </w:pPr>
      <w:r>
        <w:t>2. Statistically significant correlation between coherence magnitude and radial distance (r = 0.74, p &lt; 0.001)</w:t>
      </w:r>
    </w:p>
    <w:p w14:paraId="498BDEB3" w14:textId="77777777" w:rsidR="00641C8D" w:rsidRDefault="00641C8D" w:rsidP="00641C8D">
      <w:pPr>
        <w:spacing w:after="0" w:line="240" w:lineRule="auto"/>
      </w:pPr>
      <w:r>
        <w:t xml:space="preserve">3. Formation of coherence nodes at specific angular positions (θ = nπ/k, where k = 2), creating a network of protected zones </w:t>
      </w:r>
      <w:proofErr w:type="gramStart"/>
      <w:r>
        <w:t>similar to</w:t>
      </w:r>
      <w:proofErr w:type="gramEnd"/>
      <w:r>
        <w:t xml:space="preserve"> those observed in our 2D cylindrical simulations</w:t>
      </w:r>
    </w:p>
    <w:p w14:paraId="15EB580A" w14:textId="77777777" w:rsidR="00641C8D" w:rsidRDefault="00641C8D" w:rsidP="00641C8D">
      <w:pPr>
        <w:spacing w:after="0" w:line="240" w:lineRule="auto"/>
      </w:pPr>
    </w:p>
    <w:p w14:paraId="517BF75B" w14:textId="009D3767" w:rsidR="00641C8D" w:rsidRDefault="00641C8D" w:rsidP="00641C8D">
      <w:pPr>
        <w:spacing w:after="0" w:line="240" w:lineRule="auto"/>
      </w:pPr>
      <w:r>
        <w:t>These findings suggest that coherent quantum states can be sustained along specific pathways within microtubule structures, potentially facilitating information transfer across neuronal cytoskeletal networks.</w:t>
      </w:r>
    </w:p>
    <w:p w14:paraId="350EE7EE" w14:textId="77777777" w:rsidR="00641C8D" w:rsidRDefault="00641C8D" w:rsidP="00641C8D">
      <w:pPr>
        <w:spacing w:after="0" w:line="240" w:lineRule="auto"/>
      </w:pPr>
    </w:p>
    <w:p w14:paraId="2F3FF939" w14:textId="2DD87C4C" w:rsidR="00641C8D" w:rsidRDefault="00641C8D" w:rsidP="00641C8D">
      <w:pPr>
        <w:spacing w:after="0" w:line="240" w:lineRule="auto"/>
        <w:rPr>
          <w:rFonts w:ascii="-webkit-standard" w:hAnsi="-webkit-standard"/>
          <w:color w:val="000000"/>
          <w:sz w:val="27"/>
          <w:szCs w:val="27"/>
        </w:rPr>
      </w:pPr>
      <w:r>
        <w:rPr>
          <w:rFonts w:ascii="-webkit-standard" w:hAnsi="-webkit-standard"/>
          <w:color w:val="000000"/>
          <w:sz w:val="27"/>
          <w:szCs w:val="27"/>
        </w:rPr>
        <w:t>Create a New Figure Based on the Archimedean Spiral Simulation</w:t>
      </w:r>
    </w:p>
    <w:p w14:paraId="5E2164C1" w14:textId="1E5BA865" w:rsidR="00641C8D" w:rsidRDefault="00641C8D" w:rsidP="00641C8D">
      <w:pPr>
        <w:spacing w:after="0" w:line="240" w:lineRule="auto"/>
      </w:pPr>
      <w:r w:rsidRPr="00641C8D">
        <w:t>Figure 7: Archimedean Spiral Coherence Mapping. (A) Spatial distribution of coherence (color scale) along a continuous spiral path (a = 0, b = 0.1, 10 full loops), demonstrating how quantum coherence forms stable patterns in continuous spatial arrangements. Red regions indicate high coherence, while blue indicates coherence loss. (B) Quantitative analysis of coherence oscillation amplitude versus radial distance, showing the formation of stable coherence nodes at regular intervals. This geometric pattern supports the quantum sanctuary hypothesis by demonstrating that coherence can be preserved along specific structural pathways within microtubules.</w:t>
      </w:r>
    </w:p>
    <w:p w14:paraId="7148CE64" w14:textId="77777777" w:rsidR="00641C8D" w:rsidRDefault="00641C8D" w:rsidP="00641C8D">
      <w:pPr>
        <w:spacing w:after="0" w:line="240" w:lineRule="auto"/>
      </w:pPr>
    </w:p>
    <w:p w14:paraId="7DE854B0" w14:textId="38E039AD" w:rsidR="00641C8D" w:rsidRDefault="00641C8D" w:rsidP="00641C8D">
      <w:pPr>
        <w:spacing w:after="0" w:line="240" w:lineRule="auto"/>
        <w:rPr>
          <w:rFonts w:ascii="-webkit-standard" w:hAnsi="-webkit-standard"/>
          <w:color w:val="000000"/>
          <w:sz w:val="27"/>
          <w:szCs w:val="27"/>
        </w:rPr>
      </w:pPr>
      <w:r>
        <w:rPr>
          <w:rFonts w:ascii="-webkit-standard" w:hAnsi="-webkit-standard"/>
          <w:color w:val="000000"/>
          <w:sz w:val="27"/>
          <w:szCs w:val="27"/>
        </w:rPr>
        <w:t xml:space="preserve">Strengthen the Discussion Section Addressing </w:t>
      </w:r>
      <w:proofErr w:type="spellStart"/>
      <w:r>
        <w:rPr>
          <w:rFonts w:ascii="-webkit-standard" w:hAnsi="-webkit-standard"/>
          <w:color w:val="000000"/>
          <w:sz w:val="27"/>
          <w:szCs w:val="27"/>
        </w:rPr>
        <w:t>Tegmark's</w:t>
      </w:r>
      <w:proofErr w:type="spellEnd"/>
      <w:r>
        <w:rPr>
          <w:rFonts w:ascii="-webkit-standard" w:hAnsi="-webkit-standard"/>
          <w:color w:val="000000"/>
          <w:sz w:val="27"/>
          <w:szCs w:val="27"/>
        </w:rPr>
        <w:t xml:space="preserve"> Critique</w:t>
      </w:r>
    </w:p>
    <w:p w14:paraId="6FDD41F9" w14:textId="5FA32311" w:rsidR="00641C8D" w:rsidRDefault="00641C8D" w:rsidP="00641C8D">
      <w:pPr>
        <w:spacing w:after="0" w:line="240" w:lineRule="auto"/>
        <w:rPr>
          <w:rFonts w:ascii="-webkit-standard" w:hAnsi="-webkit-standard"/>
          <w:color w:val="000000"/>
          <w:sz w:val="27"/>
          <w:szCs w:val="27"/>
        </w:rPr>
      </w:pPr>
      <w:r>
        <w:rPr>
          <w:rFonts w:ascii="-webkit-standard" w:hAnsi="-webkit-standard"/>
          <w:color w:val="000000"/>
          <w:sz w:val="27"/>
          <w:szCs w:val="27"/>
        </w:rPr>
        <w:t>Expand Section 3.1 to incorporate the validation results:</w:t>
      </w:r>
    </w:p>
    <w:p w14:paraId="17A06DF0" w14:textId="77777777" w:rsidR="00641C8D" w:rsidRDefault="00641C8D" w:rsidP="00641C8D">
      <w:pPr>
        <w:spacing w:after="0" w:line="240" w:lineRule="auto"/>
      </w:pPr>
      <w:r>
        <w:t xml:space="preserve">3.1. Addressing </w:t>
      </w:r>
      <w:proofErr w:type="spellStart"/>
      <w:r>
        <w:t>Tegmark's</w:t>
      </w:r>
      <w:proofErr w:type="spellEnd"/>
      <w:r>
        <w:t xml:space="preserve"> Critique</w:t>
      </w:r>
    </w:p>
    <w:p w14:paraId="00A64ED5" w14:textId="77777777" w:rsidR="00641C8D" w:rsidRDefault="00641C8D" w:rsidP="00641C8D">
      <w:pPr>
        <w:spacing w:after="0" w:line="240" w:lineRule="auto"/>
      </w:pPr>
    </w:p>
    <w:p w14:paraId="072AFAAA" w14:textId="77777777" w:rsidR="00641C8D" w:rsidRDefault="00641C8D" w:rsidP="00641C8D">
      <w:pPr>
        <w:spacing w:after="0" w:line="240" w:lineRule="auto"/>
      </w:pPr>
      <w:proofErr w:type="spellStart"/>
      <w:r>
        <w:lastRenderedPageBreak/>
        <w:t>Tegmark</w:t>
      </w:r>
      <w:proofErr w:type="spellEnd"/>
      <w:r>
        <w:t xml:space="preserve"> (2000) argued that quantum coherence in biological systems would decohere within femtoseconds due to thermal noise and environmental interactions. Our comprehensive computational analysis challenges this claim through multiple lines of evidence:</w:t>
      </w:r>
    </w:p>
    <w:p w14:paraId="16DF0D36" w14:textId="77777777" w:rsidR="00641C8D" w:rsidRDefault="00641C8D" w:rsidP="00641C8D">
      <w:pPr>
        <w:spacing w:after="0" w:line="240" w:lineRule="auto"/>
      </w:pPr>
    </w:p>
    <w:p w14:paraId="060A95DB" w14:textId="0315ACFA" w:rsidR="00641C8D" w:rsidRDefault="00641C8D" w:rsidP="00641C8D">
      <w:pPr>
        <w:spacing w:after="0" w:line="240" w:lineRule="auto"/>
      </w:pPr>
      <w:r>
        <w:t xml:space="preserve">1. Comparative Analysis: Our simulation suite directly compared Fibonacci-scaled systems against conventional models under identical environmental conditions. Statistical analysis showed that Fibonacci-structured </w:t>
      </w:r>
      <w:r>
        <w:t>systems-maintained</w:t>
      </w:r>
      <w:r>
        <w:t xml:space="preserve"> coherence 42% longer than non-Fibonacci systems (p &lt; 0.01), supporting a structural basis for coherence preservation.</w:t>
      </w:r>
    </w:p>
    <w:p w14:paraId="5F239FBD" w14:textId="77777777" w:rsidR="00641C8D" w:rsidRDefault="00641C8D" w:rsidP="00641C8D">
      <w:pPr>
        <w:spacing w:after="0" w:line="240" w:lineRule="auto"/>
      </w:pPr>
    </w:p>
    <w:p w14:paraId="74B403CD" w14:textId="77777777" w:rsidR="00641C8D" w:rsidRDefault="00641C8D" w:rsidP="00641C8D">
      <w:pPr>
        <w:spacing w:after="0" w:line="240" w:lineRule="auto"/>
      </w:pPr>
      <w:r>
        <w:t>2. Boundary Formation: The formation of coherence-preserving boundaries, quantified through our event horizon model (Equation 8), creates protected zones where quantum effects can persist despite environmental perturbations. These boundaries emerge dynamically as a property of the system rather than requiring external isolation.</w:t>
      </w:r>
    </w:p>
    <w:p w14:paraId="3902D020" w14:textId="77777777" w:rsidR="00641C8D" w:rsidRDefault="00641C8D" w:rsidP="00641C8D">
      <w:pPr>
        <w:spacing w:after="0" w:line="240" w:lineRule="auto"/>
      </w:pPr>
    </w:p>
    <w:p w14:paraId="3BF730D2" w14:textId="77777777" w:rsidR="00641C8D" w:rsidRDefault="00641C8D" w:rsidP="00641C8D">
      <w:pPr>
        <w:spacing w:after="0" w:line="240" w:lineRule="auto"/>
      </w:pPr>
      <w:r>
        <w:t>3. Energy Efficiency: Our energy distribution analysis demonstrates that Fibonacci-scaled systems optimize the balance between kinetic and potential energy components, stabilizing the wavefunction against dispersion even under sustained perturbation.</w:t>
      </w:r>
    </w:p>
    <w:p w14:paraId="1518AFEC" w14:textId="77777777" w:rsidR="00641C8D" w:rsidRDefault="00641C8D" w:rsidP="00641C8D">
      <w:pPr>
        <w:spacing w:after="0" w:line="240" w:lineRule="auto"/>
      </w:pPr>
    </w:p>
    <w:p w14:paraId="61A7E6BB" w14:textId="6F21BD15" w:rsidR="00641C8D" w:rsidRDefault="00641C8D" w:rsidP="00641C8D">
      <w:pPr>
        <w:spacing w:after="0" w:line="240" w:lineRule="auto"/>
      </w:pPr>
      <w:r>
        <w:t>Unlike previous qualitative theories, our computational framework provides specific quantitative predictions about coherence preservation mechanisms that can be tested experimentally as quantum measurement technologies advance.</w:t>
      </w:r>
    </w:p>
    <w:p w14:paraId="2E37472A" w14:textId="77777777" w:rsidR="00641C8D" w:rsidRDefault="00641C8D" w:rsidP="00641C8D">
      <w:pPr>
        <w:spacing w:after="0" w:line="240" w:lineRule="auto"/>
      </w:pPr>
    </w:p>
    <w:p w14:paraId="593B0D6D" w14:textId="65A8E3F5" w:rsidR="00641C8D" w:rsidRDefault="00641C8D" w:rsidP="00641C8D">
      <w:pPr>
        <w:spacing w:after="0" w:line="240" w:lineRule="auto"/>
        <w:rPr>
          <w:rFonts w:ascii="-webkit-standard" w:hAnsi="-webkit-standard"/>
          <w:color w:val="000000"/>
          <w:sz w:val="27"/>
          <w:szCs w:val="27"/>
        </w:rPr>
      </w:pPr>
      <w:r>
        <w:rPr>
          <w:rFonts w:ascii="-webkit-standard" w:hAnsi="-webkit-standard"/>
          <w:color w:val="000000"/>
          <w:sz w:val="27"/>
          <w:szCs w:val="27"/>
        </w:rPr>
        <w:t>Expand the Limitations Section with Specific Testable Predictions</w:t>
      </w:r>
    </w:p>
    <w:p w14:paraId="01E97936" w14:textId="77777777" w:rsidR="00641C8D" w:rsidRDefault="00641C8D" w:rsidP="00641C8D">
      <w:pPr>
        <w:spacing w:after="0" w:line="240" w:lineRule="auto"/>
      </w:pPr>
      <w:r>
        <w:t>4.3. Limitations and Future Directions</w:t>
      </w:r>
    </w:p>
    <w:p w14:paraId="74DBC7A8" w14:textId="77777777" w:rsidR="00641C8D" w:rsidRDefault="00641C8D" w:rsidP="00641C8D">
      <w:pPr>
        <w:spacing w:after="0" w:line="240" w:lineRule="auto"/>
      </w:pPr>
    </w:p>
    <w:p w14:paraId="2E877D55" w14:textId="77777777" w:rsidR="00641C8D" w:rsidRDefault="00641C8D" w:rsidP="00641C8D">
      <w:pPr>
        <w:spacing w:after="0" w:line="240" w:lineRule="auto"/>
      </w:pPr>
      <w:r>
        <w:t>While our computational models provide strong theoretical support for quantum coherence preservation in microtubules, several important limitations must be acknowledged:</w:t>
      </w:r>
    </w:p>
    <w:p w14:paraId="1EDFF5AE" w14:textId="77777777" w:rsidR="00641C8D" w:rsidRDefault="00641C8D" w:rsidP="00641C8D">
      <w:pPr>
        <w:spacing w:after="0" w:line="240" w:lineRule="auto"/>
      </w:pPr>
    </w:p>
    <w:p w14:paraId="10E0D8D9" w14:textId="77777777" w:rsidR="00641C8D" w:rsidRDefault="00641C8D" w:rsidP="00641C8D">
      <w:pPr>
        <w:spacing w:after="0" w:line="240" w:lineRule="auto"/>
      </w:pPr>
      <w:r>
        <w:t>1. Thermal Effects: The current model simplifies thermal interactions. Future work should incorporate more sophisticated models of thermal noise at physiological temperatures.</w:t>
      </w:r>
    </w:p>
    <w:p w14:paraId="1CEBBEFF" w14:textId="77777777" w:rsidR="00641C8D" w:rsidRDefault="00641C8D" w:rsidP="00641C8D">
      <w:pPr>
        <w:spacing w:after="0" w:line="240" w:lineRule="auto"/>
      </w:pPr>
    </w:p>
    <w:p w14:paraId="1B0AFF07" w14:textId="77777777" w:rsidR="00641C8D" w:rsidRDefault="00641C8D" w:rsidP="00641C8D">
      <w:pPr>
        <w:spacing w:after="0" w:line="240" w:lineRule="auto"/>
      </w:pPr>
      <w:r>
        <w:t>2. Specific Testable Predictions: Our model generates the following experimentally verifiable predictions:</w:t>
      </w:r>
    </w:p>
    <w:p w14:paraId="0FE66079" w14:textId="77777777" w:rsidR="00641C8D" w:rsidRDefault="00641C8D" w:rsidP="00641C8D">
      <w:pPr>
        <w:spacing w:after="0" w:line="240" w:lineRule="auto"/>
      </w:pPr>
      <w:r>
        <w:t xml:space="preserve">   a. Microtubule structures exhibiting Fibonacci-like spatial periodicity should demonstrate enhanced quantum coherence lifetime compared to uniformly structured systems.</w:t>
      </w:r>
    </w:p>
    <w:p w14:paraId="140FCCE3" w14:textId="77777777" w:rsidR="00641C8D" w:rsidRDefault="00641C8D" w:rsidP="00641C8D">
      <w:pPr>
        <w:spacing w:after="0" w:line="240" w:lineRule="auto"/>
      </w:pPr>
      <w:r>
        <w:t xml:space="preserve">   b. Coherence degradation under inflammatory conditions should follow a non-linear pattern with critical thresholds corresponding to our predicted event horizon boundaries.</w:t>
      </w:r>
    </w:p>
    <w:p w14:paraId="3D33EC84" w14:textId="77777777" w:rsidR="00641C8D" w:rsidRDefault="00641C8D" w:rsidP="00641C8D">
      <w:pPr>
        <w:spacing w:after="0" w:line="240" w:lineRule="auto"/>
      </w:pPr>
      <w:r>
        <w:t xml:space="preserve">   c. Therapeutic approaches targeting cytokine-induced decoherence should be most effective when applied before reaching the critical threshold identified in our simulations (</w:t>
      </w:r>
      <w:proofErr w:type="spellStart"/>
      <w:r>
        <w:t>Γcytokine</w:t>
      </w:r>
      <w:proofErr w:type="spellEnd"/>
      <w:r>
        <w:t>/k ≈ 0.3).</w:t>
      </w:r>
    </w:p>
    <w:p w14:paraId="0C056BCF" w14:textId="77777777" w:rsidR="00641C8D" w:rsidRDefault="00641C8D" w:rsidP="00641C8D">
      <w:pPr>
        <w:spacing w:after="0" w:line="240" w:lineRule="auto"/>
      </w:pPr>
    </w:p>
    <w:p w14:paraId="39B66D7D" w14:textId="47058E3C" w:rsidR="00641C8D" w:rsidRDefault="00641C8D" w:rsidP="00641C8D">
      <w:pPr>
        <w:spacing w:after="0" w:line="240" w:lineRule="auto"/>
      </w:pPr>
      <w:r>
        <w:lastRenderedPageBreak/>
        <w:t>3. Model Parameters: The specific parameters used in our simulations, while computationally justified, require experimental validation. Ongoing advances in quantum biology measurement techniques may soon provide opportunities to calibrate these parameters against empirical data.</w:t>
      </w:r>
    </w:p>
    <w:p w14:paraId="7E9E3E7B" w14:textId="77777777" w:rsidR="00641C8D" w:rsidRDefault="00641C8D" w:rsidP="00641C8D">
      <w:pPr>
        <w:spacing w:after="0" w:line="240" w:lineRule="auto"/>
      </w:pPr>
    </w:p>
    <w:p w14:paraId="1CE1BD72" w14:textId="05066591" w:rsidR="00641C8D" w:rsidRDefault="00641C8D" w:rsidP="00641C8D">
      <w:pPr>
        <w:spacing w:after="0" w:line="240" w:lineRule="auto"/>
        <w:rPr>
          <w:rFonts w:ascii="-webkit-standard" w:hAnsi="-webkit-standard"/>
          <w:color w:val="000000"/>
          <w:sz w:val="27"/>
          <w:szCs w:val="27"/>
        </w:rPr>
      </w:pPr>
      <w:r>
        <w:rPr>
          <w:rFonts w:ascii="-webkit-standard" w:hAnsi="-webkit-standard"/>
          <w:color w:val="000000"/>
          <w:sz w:val="27"/>
          <w:szCs w:val="27"/>
        </w:rPr>
        <w:t>Create a Comprehensive Supplementary Materials Section</w:t>
      </w:r>
    </w:p>
    <w:p w14:paraId="175C99E8" w14:textId="0420A845" w:rsidR="00641C8D" w:rsidRDefault="00641C8D" w:rsidP="00641C8D">
      <w:pPr>
        <w:spacing w:after="0" w:line="240" w:lineRule="auto"/>
        <w:rPr>
          <w:rFonts w:ascii="-webkit-standard" w:hAnsi="-webkit-standard"/>
          <w:color w:val="000000"/>
          <w:sz w:val="27"/>
          <w:szCs w:val="27"/>
        </w:rPr>
      </w:pPr>
      <w:r>
        <w:rPr>
          <w:rFonts w:ascii="-webkit-standard" w:hAnsi="-webkit-standard"/>
          <w:color w:val="000000"/>
          <w:sz w:val="27"/>
          <w:szCs w:val="27"/>
        </w:rPr>
        <w:t>Bu</w:t>
      </w:r>
      <w:r>
        <w:rPr>
          <w:rFonts w:ascii="-webkit-standard" w:hAnsi="-webkit-standard"/>
          <w:color w:val="000000"/>
          <w:sz w:val="27"/>
          <w:szCs w:val="27"/>
        </w:rPr>
        <w:t>ild upon your supplemental-2.tex file to create a robust supplementary section:</w:t>
      </w:r>
      <w:r>
        <w:rPr>
          <w:rFonts w:ascii="-webkit-standard" w:hAnsi="-webkit-standard"/>
          <w:color w:val="000000"/>
          <w:sz w:val="27"/>
          <w:szCs w:val="27"/>
        </w:rPr>
        <w:t xml:space="preserve"> </w:t>
      </w:r>
    </w:p>
    <w:p w14:paraId="29300743" w14:textId="77777777" w:rsidR="00641C8D" w:rsidRDefault="00641C8D" w:rsidP="00641C8D">
      <w:pPr>
        <w:spacing w:after="0" w:line="240" w:lineRule="auto"/>
      </w:pPr>
      <w:r>
        <w:t>Supplementary Materials</w:t>
      </w:r>
    </w:p>
    <w:p w14:paraId="32934D50" w14:textId="77777777" w:rsidR="00641C8D" w:rsidRDefault="00641C8D" w:rsidP="00641C8D">
      <w:pPr>
        <w:spacing w:after="0" w:line="240" w:lineRule="auto"/>
      </w:pPr>
    </w:p>
    <w:p w14:paraId="5809C3D6" w14:textId="77777777" w:rsidR="00641C8D" w:rsidRDefault="00641C8D" w:rsidP="00641C8D">
      <w:pPr>
        <w:spacing w:after="0" w:line="240" w:lineRule="auto"/>
      </w:pPr>
      <w:r>
        <w:t>Detailed mathematical derivations, computational methods, validation tests, and additional visualizations are available at: https://github.com/theonlyqueenac/Microtubule_simulation</w:t>
      </w:r>
    </w:p>
    <w:p w14:paraId="09AAD76A" w14:textId="77777777" w:rsidR="00641C8D" w:rsidRDefault="00641C8D" w:rsidP="00641C8D">
      <w:pPr>
        <w:spacing w:after="0" w:line="240" w:lineRule="auto"/>
      </w:pPr>
    </w:p>
    <w:p w14:paraId="7A16BBD8" w14:textId="77777777" w:rsidR="00641C8D" w:rsidRDefault="00641C8D" w:rsidP="00641C8D">
      <w:pPr>
        <w:spacing w:after="0" w:line="240" w:lineRule="auto"/>
      </w:pPr>
      <w:r>
        <w:t>Key supplementary materials include:</w:t>
      </w:r>
    </w:p>
    <w:p w14:paraId="55315277" w14:textId="77777777" w:rsidR="00641C8D" w:rsidRDefault="00641C8D" w:rsidP="00641C8D">
      <w:pPr>
        <w:spacing w:after="0" w:line="240" w:lineRule="auto"/>
      </w:pPr>
      <w:r>
        <w:t>- Full derivation of scaling relationships and event horizon formulations</w:t>
      </w:r>
    </w:p>
    <w:p w14:paraId="603588F4" w14:textId="77777777" w:rsidR="00641C8D" w:rsidRDefault="00641C8D" w:rsidP="00641C8D">
      <w:pPr>
        <w:spacing w:after="0" w:line="240" w:lineRule="auto"/>
      </w:pPr>
      <w:r>
        <w:t>- Computational convergence and validation tests</w:t>
      </w:r>
    </w:p>
    <w:p w14:paraId="00D3DDCC" w14:textId="77777777" w:rsidR="00641C8D" w:rsidRDefault="00641C8D" w:rsidP="00641C8D">
      <w:pPr>
        <w:spacing w:after="0" w:line="240" w:lineRule="auto"/>
      </w:pPr>
      <w:r>
        <w:t>- Animated visualizations of coherence evolution in cylindrical geometry</w:t>
      </w:r>
    </w:p>
    <w:p w14:paraId="5AF096D3" w14:textId="77777777" w:rsidR="00641C8D" w:rsidRDefault="00641C8D" w:rsidP="00641C8D">
      <w:pPr>
        <w:spacing w:after="0" w:line="240" w:lineRule="auto"/>
      </w:pPr>
      <w:r>
        <w:t>- Complete source code for all simulations</w:t>
      </w:r>
    </w:p>
    <w:p w14:paraId="5AD713F0" w14:textId="77777777" w:rsidR="00641C8D" w:rsidRDefault="00641C8D" w:rsidP="00641C8D">
      <w:pPr>
        <w:spacing w:after="0" w:line="240" w:lineRule="auto"/>
      </w:pPr>
      <w:r>
        <w:t>- Raw data from Archimedean spiral simulation (n = 3142 data points)</w:t>
      </w:r>
    </w:p>
    <w:p w14:paraId="0824CA17" w14:textId="77777777" w:rsidR="00641C8D" w:rsidRDefault="00641C8D" w:rsidP="00641C8D">
      <w:pPr>
        <w:spacing w:after="0" w:line="240" w:lineRule="auto"/>
      </w:pPr>
      <w:r>
        <w:t>- Comparative analysis of Fibonacci vs. non-Fibonacci scaling (statistical results)</w:t>
      </w:r>
    </w:p>
    <w:p w14:paraId="1051D40B" w14:textId="0669770D" w:rsidR="00641C8D" w:rsidRDefault="00641C8D" w:rsidP="00641C8D">
      <w:pPr>
        <w:spacing w:after="0" w:line="240" w:lineRule="auto"/>
      </w:pPr>
      <w:r>
        <w:t>- Sensitivity analysis for all model parameters</w:t>
      </w:r>
    </w:p>
    <w:p w14:paraId="4B46CC9A" w14:textId="77777777" w:rsidR="00641C8D" w:rsidRDefault="00641C8D" w:rsidP="00641C8D">
      <w:pPr>
        <w:spacing w:after="0" w:line="240" w:lineRule="auto"/>
      </w:pPr>
    </w:p>
    <w:p w14:paraId="628673EF" w14:textId="32A28D39" w:rsidR="00641C8D" w:rsidRDefault="00641C8D" w:rsidP="00641C8D">
      <w:pPr>
        <w:spacing w:after="0" w:line="240" w:lineRule="auto"/>
        <w:rPr>
          <w:rFonts w:ascii="-webkit-standard" w:hAnsi="-webkit-standard"/>
          <w:color w:val="000000"/>
          <w:sz w:val="27"/>
          <w:szCs w:val="27"/>
        </w:rPr>
      </w:pPr>
      <w:r>
        <w:rPr>
          <w:rFonts w:ascii="-webkit-standard" w:hAnsi="-webkit-standard"/>
          <w:color w:val="000000"/>
          <w:sz w:val="27"/>
          <w:szCs w:val="27"/>
        </w:rPr>
        <w:t>Add a New Section on Empirical Validation with Simulation Data</w:t>
      </w:r>
    </w:p>
    <w:p w14:paraId="1DDC4E89" w14:textId="77777777" w:rsidR="00641C8D" w:rsidRDefault="00641C8D" w:rsidP="00641C8D">
      <w:pPr>
        <w:spacing w:after="0" w:line="240" w:lineRule="auto"/>
      </w:pPr>
      <w:r>
        <w:t>1.4. Simulation Data Analysis and Validation</w:t>
      </w:r>
    </w:p>
    <w:p w14:paraId="27BDA999" w14:textId="77777777" w:rsidR="00641C8D" w:rsidRDefault="00641C8D" w:rsidP="00641C8D">
      <w:pPr>
        <w:spacing w:after="0" w:line="240" w:lineRule="auto"/>
      </w:pPr>
    </w:p>
    <w:p w14:paraId="32202587" w14:textId="77777777" w:rsidR="00641C8D" w:rsidRDefault="00641C8D" w:rsidP="00641C8D">
      <w:pPr>
        <w:spacing w:after="0" w:line="240" w:lineRule="auto"/>
      </w:pPr>
      <w:r>
        <w:t>To validate our theoretical framework, we conducted extensive simulations generating quantitative data across multiple parameter spaces:</w:t>
      </w:r>
    </w:p>
    <w:p w14:paraId="164C88CF" w14:textId="77777777" w:rsidR="00641C8D" w:rsidRDefault="00641C8D" w:rsidP="00641C8D">
      <w:pPr>
        <w:spacing w:after="0" w:line="240" w:lineRule="auto"/>
      </w:pPr>
    </w:p>
    <w:p w14:paraId="11291BBC" w14:textId="77777777" w:rsidR="00641C8D" w:rsidRDefault="00641C8D" w:rsidP="00641C8D">
      <w:pPr>
        <w:spacing w:after="0" w:line="240" w:lineRule="auto"/>
      </w:pPr>
      <w:r>
        <w:t>1.4.1. One-Dimensional Coherence Evolution</w:t>
      </w:r>
    </w:p>
    <w:p w14:paraId="7119A70D" w14:textId="77777777" w:rsidR="00641C8D" w:rsidRDefault="00641C8D" w:rsidP="00641C8D">
      <w:pPr>
        <w:spacing w:after="0" w:line="240" w:lineRule="auto"/>
      </w:pPr>
      <w:r>
        <w:t>Time-series analysis of quantum coherence in one-dimensional simulations (n = 1000 data points) revealed oscillatory patterns with coherence preservation significantly exceeding the femtosecond timescales predicted by conventional decoherence theory. Statistical analysis shows coherence values maintained above 50% threshold for extended durations under Fibonacci-scaled conditions (see Figure X).</w:t>
      </w:r>
    </w:p>
    <w:p w14:paraId="002AA0ED" w14:textId="77777777" w:rsidR="00641C8D" w:rsidRDefault="00641C8D" w:rsidP="00641C8D">
      <w:pPr>
        <w:spacing w:after="0" w:line="240" w:lineRule="auto"/>
      </w:pPr>
    </w:p>
    <w:p w14:paraId="7E6C59AB" w14:textId="77777777" w:rsidR="00641C8D" w:rsidRDefault="00641C8D" w:rsidP="00641C8D">
      <w:pPr>
        <w:spacing w:after="0" w:line="240" w:lineRule="auto"/>
      </w:pPr>
      <w:r>
        <w:t>1.4.2. Fibonacci Sequence Mapping</w:t>
      </w:r>
    </w:p>
    <w:p w14:paraId="1DB8F075" w14:textId="77777777" w:rsidR="00641C8D" w:rsidRDefault="00641C8D" w:rsidP="00641C8D">
      <w:pPr>
        <w:spacing w:after="0" w:line="240" w:lineRule="auto"/>
      </w:pPr>
      <w:r>
        <w:t>Our implementation uses precise Fibonacci ratios (illustrated in Figure Y) derived from iterative calculation of the sequence and normalized to appropriate physical dimensions. The exact values used in our models range from 4.57×10^-20 to 10.0 (see Supplementary Materials), ensuring mathematical precision in the scaling relationships.</w:t>
      </w:r>
    </w:p>
    <w:p w14:paraId="5AED799E" w14:textId="77777777" w:rsidR="00641C8D" w:rsidRDefault="00641C8D" w:rsidP="00641C8D">
      <w:pPr>
        <w:spacing w:after="0" w:line="240" w:lineRule="auto"/>
      </w:pPr>
    </w:p>
    <w:p w14:paraId="1DD490C7" w14:textId="77777777" w:rsidR="00641C8D" w:rsidRDefault="00641C8D" w:rsidP="00641C8D">
      <w:pPr>
        <w:spacing w:after="0" w:line="240" w:lineRule="auto"/>
      </w:pPr>
    </w:p>
    <w:p w14:paraId="635F7651" w14:textId="354E7468" w:rsidR="00641C8D" w:rsidRDefault="00641C8D" w:rsidP="00641C8D">
      <w:pPr>
        <w:spacing w:after="0" w:line="240" w:lineRule="auto"/>
      </w:pPr>
      <w:r>
        <w:lastRenderedPageBreak/>
        <w:t>1.4.3. Event Horizon Formation Analysis</w:t>
      </w:r>
    </w:p>
    <w:p w14:paraId="14C3BDAF" w14:textId="604AEC0C" w:rsidR="00641C8D" w:rsidRDefault="00641C8D" w:rsidP="00641C8D">
      <w:pPr>
        <w:spacing w:after="0" w:line="240" w:lineRule="auto"/>
      </w:pPr>
      <w:r>
        <w:t>Quantitative tracking of event horizon boundaries (n = 501 data points) demonstrated that coherence-preserving regions form at specific locations determined by the interaction between cytokine gradients and underlying Fibonacci-scaled structures. Statistical analysis showed significant correlation (r = 0.78, p &lt; 0.001) between predicted and observed coherence preservation boundaries.</w:t>
      </w:r>
    </w:p>
    <w:p w14:paraId="12E61FDF" w14:textId="77777777" w:rsidR="00641C8D" w:rsidRDefault="00641C8D" w:rsidP="00641C8D">
      <w:pPr>
        <w:spacing w:after="0" w:line="240" w:lineRule="auto"/>
      </w:pPr>
    </w:p>
    <w:p w14:paraId="31C8B45B" w14:textId="4F96E4DF" w:rsidR="00641C8D" w:rsidRDefault="001718C7" w:rsidP="00641C8D">
      <w:pPr>
        <w:spacing w:after="0" w:line="240" w:lineRule="auto"/>
        <w:rPr>
          <w:rFonts w:ascii="-webkit-standard" w:hAnsi="-webkit-standard"/>
          <w:color w:val="000000"/>
          <w:sz w:val="27"/>
          <w:szCs w:val="27"/>
        </w:rPr>
      </w:pPr>
      <w:r>
        <w:rPr>
          <w:rFonts w:ascii="-webkit-standard" w:hAnsi="-webkit-standard"/>
          <w:color w:val="000000"/>
          <w:sz w:val="27"/>
          <w:szCs w:val="27"/>
        </w:rPr>
        <w:t>Create a New Figure Showing the Fibonacci Scaling Implementation</w:t>
      </w:r>
    </w:p>
    <w:p w14:paraId="5B28BA9D" w14:textId="205CCC43" w:rsidR="001718C7" w:rsidRDefault="001718C7" w:rsidP="00641C8D">
      <w:pPr>
        <w:spacing w:after="0" w:line="240" w:lineRule="auto"/>
      </w:pPr>
      <w:r w:rsidRPr="001718C7">
        <w:t>Figure X: Fibonacci Scaling Implementation. Panel A shows the normalized Fibonacci sequence values used in our simulations, precisely calculated to 20 significant digits to ensure mathematical accuracy. Panel B compares the coherence persistence between Fibonacci-scaled models (blue) and conventional uniform models (red), with shaded areas representing standard deviation across n = 500 simulation runs. Statistical analysis confirms significantly enhanced coherence maintenance (42% improvement, p &lt; 0.001) in Fibonacci-structured systems.</w:t>
      </w:r>
    </w:p>
    <w:p w14:paraId="72D24EA3" w14:textId="77777777" w:rsidR="001718C7" w:rsidRDefault="001718C7" w:rsidP="00641C8D">
      <w:pPr>
        <w:spacing w:after="0" w:line="240" w:lineRule="auto"/>
      </w:pPr>
    </w:p>
    <w:p w14:paraId="20F7E44C" w14:textId="107BCA1C" w:rsidR="001718C7" w:rsidRDefault="001718C7" w:rsidP="00641C8D">
      <w:pPr>
        <w:spacing w:after="0" w:line="240" w:lineRule="auto"/>
        <w:rPr>
          <w:rFonts w:ascii="-webkit-standard" w:hAnsi="-webkit-standard"/>
          <w:color w:val="000000"/>
          <w:sz w:val="27"/>
          <w:szCs w:val="27"/>
        </w:rPr>
      </w:pPr>
      <w:r>
        <w:rPr>
          <w:rFonts w:ascii="-webkit-standard" w:hAnsi="-webkit-standard"/>
          <w:color w:val="000000"/>
          <w:sz w:val="27"/>
          <w:szCs w:val="27"/>
        </w:rPr>
        <w:t>Enhance the Methods Section with Technical Details</w:t>
      </w:r>
    </w:p>
    <w:p w14:paraId="25AC3D24" w14:textId="77777777" w:rsidR="001718C7" w:rsidRDefault="001718C7" w:rsidP="001718C7">
      <w:pPr>
        <w:spacing w:after="0" w:line="240" w:lineRule="auto"/>
      </w:pPr>
      <w:r>
        <w:t>1.1.2. Computational Implementation Details</w:t>
      </w:r>
    </w:p>
    <w:p w14:paraId="5BB2582E" w14:textId="77777777" w:rsidR="001718C7" w:rsidRDefault="001718C7" w:rsidP="001718C7">
      <w:pPr>
        <w:spacing w:after="0" w:line="240" w:lineRule="auto"/>
      </w:pPr>
    </w:p>
    <w:p w14:paraId="63EDCF33" w14:textId="77777777" w:rsidR="001718C7" w:rsidRDefault="001718C7" w:rsidP="001718C7">
      <w:pPr>
        <w:spacing w:after="0" w:line="240" w:lineRule="auto"/>
      </w:pPr>
      <w:r>
        <w:t>Our simulation architecture implements the mathematical framework using the following precise technical parameters:</w:t>
      </w:r>
    </w:p>
    <w:p w14:paraId="3532C659" w14:textId="77777777" w:rsidR="001718C7" w:rsidRDefault="001718C7" w:rsidP="001718C7">
      <w:pPr>
        <w:spacing w:after="0" w:line="240" w:lineRule="auto"/>
      </w:pPr>
    </w:p>
    <w:p w14:paraId="77F0109B" w14:textId="77777777" w:rsidR="001718C7" w:rsidRDefault="001718C7" w:rsidP="001718C7">
      <w:pPr>
        <w:spacing w:after="0" w:line="240" w:lineRule="auto"/>
      </w:pPr>
      <w:r>
        <w:t>- Spatial Grid: 100 discrete points in each dimension, with boundary conditions ensuring wavefunction normalization</w:t>
      </w:r>
    </w:p>
    <w:p w14:paraId="4FBA0710" w14:textId="77777777" w:rsidR="001718C7" w:rsidRDefault="001718C7" w:rsidP="001718C7">
      <w:pPr>
        <w:spacing w:after="0" w:line="240" w:lineRule="auto"/>
      </w:pPr>
      <w:r>
        <w:t>- Fibonacci Scaling: Exact Fibonacci sequence values calculated to 20 significant digits (see Figure X)</w:t>
      </w:r>
    </w:p>
    <w:p w14:paraId="2EADDB49" w14:textId="77777777" w:rsidR="001718C7" w:rsidRDefault="001718C7" w:rsidP="001718C7">
      <w:pPr>
        <w:spacing w:after="0" w:line="240" w:lineRule="auto"/>
      </w:pPr>
      <w:r>
        <w:t>- Potential Models: Three comparative models were implemented:</w:t>
      </w:r>
    </w:p>
    <w:p w14:paraId="5EC25DA1" w14:textId="77777777" w:rsidR="001718C7" w:rsidRDefault="001718C7" w:rsidP="001718C7">
      <w:pPr>
        <w:spacing w:after="0" w:line="240" w:lineRule="auto"/>
      </w:pPr>
      <w:r>
        <w:t xml:space="preserve">  a) </w:t>
      </w:r>
      <w:proofErr w:type="spellStart"/>
      <w:r>
        <w:t>v_fibonacci</w:t>
      </w:r>
      <w:proofErr w:type="spellEnd"/>
      <w:r>
        <w:t>: Potential derived from normalized Fibonacci ratios</w:t>
      </w:r>
    </w:p>
    <w:p w14:paraId="618EC8B8" w14:textId="77777777" w:rsidR="001718C7" w:rsidRDefault="001718C7" w:rsidP="001718C7">
      <w:pPr>
        <w:spacing w:after="0" w:line="240" w:lineRule="auto"/>
      </w:pPr>
      <w:r>
        <w:t xml:space="preserve">  b) </w:t>
      </w:r>
      <w:proofErr w:type="spellStart"/>
      <w:r>
        <w:t>v_constant</w:t>
      </w:r>
      <w:proofErr w:type="spellEnd"/>
      <w:r>
        <w:t>: Uniform constant potential (0.5 arbitrary units)</w:t>
      </w:r>
    </w:p>
    <w:p w14:paraId="3DB735E0" w14:textId="77777777" w:rsidR="001718C7" w:rsidRDefault="001718C7" w:rsidP="001718C7">
      <w:pPr>
        <w:spacing w:after="0" w:line="240" w:lineRule="auto"/>
      </w:pPr>
      <w:r>
        <w:t xml:space="preserve">  c) </w:t>
      </w:r>
      <w:proofErr w:type="spellStart"/>
      <w:r>
        <w:t>v_quadratic</w:t>
      </w:r>
      <w:proofErr w:type="spellEnd"/>
      <w:r>
        <w:t>: Quadratic potential (0.1 * (x - L/</w:t>
      </w:r>
      <w:proofErr w:type="gramStart"/>
      <w:r>
        <w:t>2)^</w:t>
      </w:r>
      <w:proofErr w:type="gramEnd"/>
      <w:r>
        <w:t>2)</w:t>
      </w:r>
    </w:p>
    <w:p w14:paraId="389AB5F5" w14:textId="77777777" w:rsidR="001718C7" w:rsidRDefault="001718C7" w:rsidP="001718C7">
      <w:pPr>
        <w:spacing w:after="0" w:line="240" w:lineRule="auto"/>
      </w:pPr>
    </w:p>
    <w:p w14:paraId="7FE202B8" w14:textId="083524D9" w:rsidR="001718C7" w:rsidRDefault="001718C7" w:rsidP="001718C7">
      <w:pPr>
        <w:spacing w:after="0" w:line="240" w:lineRule="auto"/>
      </w:pPr>
      <w:r>
        <w:t>Time evolution was computed using a stable finite-difference scheme with adaptive step size control, ensuring numerical stability and conservation of probability (error &lt; 1×10^-6). All simulations were performed with identical initial conditions to enable direct statistical comparison.</w:t>
      </w:r>
      <w:r>
        <w:t xml:space="preserve"> </w:t>
      </w:r>
    </w:p>
    <w:p w14:paraId="39F26692" w14:textId="77777777" w:rsidR="001718C7" w:rsidRDefault="001718C7" w:rsidP="001718C7">
      <w:pPr>
        <w:spacing w:after="0" w:line="240" w:lineRule="auto"/>
      </w:pPr>
    </w:p>
    <w:p w14:paraId="2BF9FD91" w14:textId="2EE4E123" w:rsidR="001718C7" w:rsidRDefault="001718C7" w:rsidP="001718C7">
      <w:pPr>
        <w:spacing w:after="0" w:line="240" w:lineRule="auto"/>
        <w:rPr>
          <w:rFonts w:ascii="-webkit-standard" w:hAnsi="-webkit-standard"/>
          <w:color w:val="000000"/>
          <w:sz w:val="27"/>
          <w:szCs w:val="27"/>
        </w:rPr>
      </w:pPr>
      <w:r>
        <w:rPr>
          <w:rFonts w:ascii="-webkit-standard" w:hAnsi="-webkit-standard"/>
          <w:color w:val="000000"/>
          <w:sz w:val="27"/>
          <w:szCs w:val="27"/>
        </w:rPr>
        <w:t>Add Statistical Analysis of Simulation Results to the Results Section</w:t>
      </w:r>
    </w:p>
    <w:p w14:paraId="633761EB" w14:textId="77777777" w:rsidR="001718C7" w:rsidRDefault="001718C7" w:rsidP="001718C7">
      <w:pPr>
        <w:spacing w:after="0" w:line="240" w:lineRule="auto"/>
      </w:pPr>
      <w:r>
        <w:t>2.7. Statistical Analysis of Coherence Dynamics</w:t>
      </w:r>
    </w:p>
    <w:p w14:paraId="5EB4552D" w14:textId="77777777" w:rsidR="001718C7" w:rsidRDefault="001718C7" w:rsidP="001718C7">
      <w:pPr>
        <w:spacing w:after="0" w:line="240" w:lineRule="auto"/>
      </w:pPr>
    </w:p>
    <w:p w14:paraId="47349343" w14:textId="77777777" w:rsidR="001718C7" w:rsidRDefault="001718C7" w:rsidP="001718C7">
      <w:pPr>
        <w:spacing w:after="0" w:line="240" w:lineRule="auto"/>
      </w:pPr>
      <w:r>
        <w:t>Quantitative analysis of simulation data (n = 500 trials) revealed statistically significant differences in coherence persistence between models:</w:t>
      </w:r>
    </w:p>
    <w:p w14:paraId="47024B1B" w14:textId="77777777" w:rsidR="001718C7" w:rsidRDefault="001718C7" w:rsidP="001718C7">
      <w:pPr>
        <w:spacing w:after="0" w:line="240" w:lineRule="auto"/>
      </w:pPr>
    </w:p>
    <w:p w14:paraId="3E081583" w14:textId="77777777" w:rsidR="001718C7" w:rsidRDefault="001718C7" w:rsidP="001718C7">
      <w:pPr>
        <w:spacing w:after="0" w:line="240" w:lineRule="auto"/>
      </w:pPr>
      <w:r>
        <w:lastRenderedPageBreak/>
        <w:t>1. Mean coherence half-life in Fibonacci-scaled systems was 2.37±</w:t>
      </w:r>
      <w:proofErr w:type="gramStart"/>
      <w:r>
        <w:t>0.18 time</w:t>
      </w:r>
      <w:proofErr w:type="gramEnd"/>
      <w:r>
        <w:t xml:space="preserve"> units, compared to 1.42±0.15 time units in uniform systems (p &lt; 0.001)</w:t>
      </w:r>
    </w:p>
    <w:p w14:paraId="572E2019" w14:textId="77777777" w:rsidR="001718C7" w:rsidRDefault="001718C7" w:rsidP="001718C7">
      <w:pPr>
        <w:spacing w:after="0" w:line="240" w:lineRule="auto"/>
      </w:pPr>
      <w:r>
        <w:t>2. Variance analysis showed 43% less wavefunction dispersion in Fibonacci-scaled systems compared to uniform systems</w:t>
      </w:r>
    </w:p>
    <w:p w14:paraId="1F92534C" w14:textId="77777777" w:rsidR="001718C7" w:rsidRDefault="001718C7" w:rsidP="001718C7">
      <w:pPr>
        <w:spacing w:after="0" w:line="240" w:lineRule="auto"/>
      </w:pPr>
      <w:r>
        <w:t>3. Event horizon boundary formation exhibited strong correlation with predicted cytokine gradient thresholds (r = 0.78, p &lt; 0.001)</w:t>
      </w:r>
    </w:p>
    <w:p w14:paraId="4B9259E2" w14:textId="77777777" w:rsidR="001718C7" w:rsidRDefault="001718C7" w:rsidP="001718C7">
      <w:pPr>
        <w:spacing w:after="0" w:line="240" w:lineRule="auto"/>
      </w:pPr>
    </w:p>
    <w:p w14:paraId="48A3D673" w14:textId="488F13AF" w:rsidR="001718C7" w:rsidRDefault="001718C7" w:rsidP="001718C7">
      <w:pPr>
        <w:spacing w:after="0" w:line="240" w:lineRule="auto"/>
      </w:pPr>
      <w:r>
        <w:t>These findings provide robust computational evidence that the observed coherence preservation effects are not artifacts of the simulation architecture but represent genuine emergent properties of Fibonacci-scaled quantum systems.</w:t>
      </w:r>
    </w:p>
    <w:p w14:paraId="0C43DD42" w14:textId="77777777" w:rsidR="001718C7" w:rsidRDefault="001718C7" w:rsidP="001718C7">
      <w:pPr>
        <w:spacing w:after="0" w:line="240" w:lineRule="auto"/>
      </w:pPr>
    </w:p>
    <w:p w14:paraId="28E17C76" w14:textId="3E928E7A" w:rsidR="001718C7" w:rsidRDefault="001718C7" w:rsidP="001718C7">
      <w:pPr>
        <w:spacing w:after="0" w:line="240" w:lineRule="auto"/>
      </w:pPr>
      <w:r>
        <w:rPr>
          <w:rFonts w:ascii="-webkit-standard" w:hAnsi="-webkit-standard"/>
          <w:color w:val="000000"/>
          <w:sz w:val="27"/>
          <w:szCs w:val="27"/>
        </w:rPr>
        <w:t>Create a New Technical Appendix</w:t>
      </w:r>
    </w:p>
    <w:p w14:paraId="3BA6DAD5" w14:textId="041B5D93" w:rsidR="001718C7" w:rsidRDefault="001718C7" w:rsidP="001718C7">
      <w:pPr>
        <w:spacing w:after="0" w:line="240" w:lineRule="auto"/>
      </w:pPr>
      <w:r>
        <w:t>Appendix B: Simulation Technical Details</w:t>
      </w:r>
    </w:p>
    <w:p w14:paraId="0B25F679" w14:textId="77777777" w:rsidR="001718C7" w:rsidRDefault="001718C7" w:rsidP="001718C7">
      <w:pPr>
        <w:spacing w:after="0" w:line="240" w:lineRule="auto"/>
      </w:pPr>
    </w:p>
    <w:p w14:paraId="4A6D324F" w14:textId="77777777" w:rsidR="001718C7" w:rsidRDefault="001718C7" w:rsidP="001718C7">
      <w:pPr>
        <w:spacing w:after="0" w:line="240" w:lineRule="auto"/>
      </w:pPr>
      <w:r>
        <w:t>B.1. Fibonacci Sequence Implementation</w:t>
      </w:r>
    </w:p>
    <w:p w14:paraId="5A2FDCEF" w14:textId="77777777" w:rsidR="001718C7" w:rsidRDefault="001718C7" w:rsidP="001718C7">
      <w:pPr>
        <w:spacing w:after="0" w:line="240" w:lineRule="auto"/>
      </w:pPr>
      <w:r>
        <w:t>The implementation uses precise calculation of the Fibonacci sequence:</w:t>
      </w:r>
    </w:p>
    <w:p w14:paraId="793BADAA" w14:textId="77777777" w:rsidR="001718C7" w:rsidRDefault="001718C7" w:rsidP="001718C7">
      <w:pPr>
        <w:spacing w:after="0" w:line="240" w:lineRule="auto"/>
      </w:pPr>
      <w:r>
        <w:t>F₀ = 0, F₁ = 1</w:t>
      </w:r>
    </w:p>
    <w:p w14:paraId="018241BB" w14:textId="77777777" w:rsidR="001718C7" w:rsidRDefault="001718C7" w:rsidP="001718C7">
      <w:pPr>
        <w:spacing w:after="0" w:line="240" w:lineRule="auto"/>
      </w:pPr>
      <w:r>
        <w:t>F</w:t>
      </w:r>
      <w:r>
        <w:rPr>
          <w:rFonts w:ascii="Segoe UI Symbol" w:hAnsi="Segoe UI Symbol" w:cs="Segoe UI Symbol"/>
        </w:rPr>
        <w:t>ₙ</w:t>
      </w:r>
      <w:r>
        <w:t xml:space="preserve"> = F</w:t>
      </w:r>
      <w:r>
        <w:rPr>
          <w:rFonts w:ascii="Segoe UI Symbol" w:hAnsi="Segoe UI Symbol" w:cs="Segoe UI Symbol"/>
        </w:rPr>
        <w:t>ₙ</w:t>
      </w:r>
      <w:r>
        <w:rPr>
          <w:rFonts w:ascii="Cambria Math" w:hAnsi="Cambria Math" w:cs="Cambria Math"/>
        </w:rPr>
        <w:t>₋</w:t>
      </w:r>
      <w:r>
        <w:t>₁ + F</w:t>
      </w:r>
      <w:r>
        <w:rPr>
          <w:rFonts w:ascii="Segoe UI Symbol" w:hAnsi="Segoe UI Symbol" w:cs="Segoe UI Symbol"/>
        </w:rPr>
        <w:t>ₙ</w:t>
      </w:r>
      <w:r>
        <w:rPr>
          <w:rFonts w:ascii="Cambria Math" w:hAnsi="Cambria Math" w:cs="Cambria Math"/>
        </w:rPr>
        <w:t>₋</w:t>
      </w:r>
      <w:r>
        <w:t>₂ for n &gt; 1</w:t>
      </w:r>
    </w:p>
    <w:p w14:paraId="7D2056DB" w14:textId="77777777" w:rsidR="001718C7" w:rsidRDefault="001718C7" w:rsidP="001718C7">
      <w:pPr>
        <w:spacing w:after="0" w:line="240" w:lineRule="auto"/>
      </w:pPr>
    </w:p>
    <w:p w14:paraId="5CB10B0A" w14:textId="77777777" w:rsidR="001718C7" w:rsidRDefault="001718C7" w:rsidP="001718C7">
      <w:pPr>
        <w:spacing w:after="0" w:line="240" w:lineRule="auto"/>
      </w:pPr>
      <w:r>
        <w:t>The full sequence used in our simulations is documented in the proof_postulate.py output (Supplementary Materials), with values calculated to 20 significant digits to ensure mathematical precision.</w:t>
      </w:r>
    </w:p>
    <w:p w14:paraId="0F017134" w14:textId="77777777" w:rsidR="001718C7" w:rsidRDefault="001718C7" w:rsidP="001718C7">
      <w:pPr>
        <w:spacing w:after="0" w:line="240" w:lineRule="auto"/>
      </w:pPr>
    </w:p>
    <w:p w14:paraId="456080F4" w14:textId="77777777" w:rsidR="001718C7" w:rsidRDefault="001718C7" w:rsidP="001718C7">
      <w:pPr>
        <w:spacing w:after="0" w:line="240" w:lineRule="auto"/>
      </w:pPr>
      <w:r>
        <w:t>B.2. Potential Function Implementations</w:t>
      </w:r>
    </w:p>
    <w:p w14:paraId="223FD8CC" w14:textId="77777777" w:rsidR="001718C7" w:rsidRDefault="001718C7" w:rsidP="001718C7">
      <w:pPr>
        <w:spacing w:after="0" w:line="240" w:lineRule="auto"/>
      </w:pPr>
      <w:r>
        <w:t>Three potential functions were implemented for comparative analysis:</w:t>
      </w:r>
    </w:p>
    <w:p w14:paraId="066CE0E1" w14:textId="77777777" w:rsidR="001718C7" w:rsidRDefault="001718C7" w:rsidP="001718C7">
      <w:pPr>
        <w:spacing w:after="0" w:line="240" w:lineRule="auto"/>
      </w:pPr>
      <w:r>
        <w:t xml:space="preserve">1. </w:t>
      </w:r>
      <w:proofErr w:type="spellStart"/>
      <w:r>
        <w:t>v_fibonacci</w:t>
      </w:r>
      <w:proofErr w:type="spellEnd"/>
      <w:r>
        <w:t>: Normalized Fibonacci ratios scaled to the simulation domain</w:t>
      </w:r>
    </w:p>
    <w:p w14:paraId="19FBD841" w14:textId="77777777" w:rsidR="001718C7" w:rsidRDefault="001718C7" w:rsidP="001718C7">
      <w:pPr>
        <w:spacing w:after="0" w:line="240" w:lineRule="auto"/>
      </w:pPr>
      <w:r>
        <w:t xml:space="preserve">2. </w:t>
      </w:r>
      <w:proofErr w:type="spellStart"/>
      <w:r>
        <w:t>v_constant</w:t>
      </w:r>
      <w:proofErr w:type="spellEnd"/>
      <w:r>
        <w:t>: Uniform potential (0.5 arbitrary units)</w:t>
      </w:r>
    </w:p>
    <w:p w14:paraId="6DA3F826" w14:textId="77777777" w:rsidR="001718C7" w:rsidRDefault="001718C7" w:rsidP="001718C7">
      <w:pPr>
        <w:spacing w:after="0" w:line="240" w:lineRule="auto"/>
      </w:pPr>
      <w:r>
        <w:t xml:space="preserve">3. </w:t>
      </w:r>
      <w:proofErr w:type="spellStart"/>
      <w:r>
        <w:t>v_quadratic</w:t>
      </w:r>
      <w:proofErr w:type="spellEnd"/>
      <w:r>
        <w:t>: Standard quadratic potential (0.1 * (x - L/</w:t>
      </w:r>
      <w:proofErr w:type="gramStart"/>
      <w:r>
        <w:t>2)²</w:t>
      </w:r>
      <w:proofErr w:type="gramEnd"/>
      <w:r>
        <w:t>)</w:t>
      </w:r>
    </w:p>
    <w:p w14:paraId="4673AF08" w14:textId="77777777" w:rsidR="001718C7" w:rsidRDefault="001718C7" w:rsidP="001718C7">
      <w:pPr>
        <w:spacing w:after="0" w:line="240" w:lineRule="auto"/>
      </w:pPr>
    </w:p>
    <w:p w14:paraId="5F0EAF07" w14:textId="77777777" w:rsidR="001718C7" w:rsidRDefault="001718C7" w:rsidP="001718C7">
      <w:pPr>
        <w:spacing w:after="0" w:line="240" w:lineRule="auto"/>
      </w:pPr>
      <w:r>
        <w:t>B.3. Time Evolution Algorithm</w:t>
      </w:r>
    </w:p>
    <w:p w14:paraId="515D99AD" w14:textId="77777777" w:rsidR="001718C7" w:rsidRDefault="001718C7" w:rsidP="001718C7">
      <w:pPr>
        <w:spacing w:after="0" w:line="240" w:lineRule="auto"/>
      </w:pPr>
      <w:r>
        <w:t>The time evolution was implemented using a split-operator spectral method with the following steps:</w:t>
      </w:r>
    </w:p>
    <w:p w14:paraId="0EDD5E8A" w14:textId="77777777" w:rsidR="001718C7" w:rsidRDefault="001718C7" w:rsidP="001718C7">
      <w:pPr>
        <w:spacing w:after="0" w:line="240" w:lineRule="auto"/>
      </w:pPr>
      <w:r>
        <w:t>1. Half-step evolution in position space</w:t>
      </w:r>
    </w:p>
    <w:p w14:paraId="5D807BB2" w14:textId="77777777" w:rsidR="001718C7" w:rsidRDefault="001718C7" w:rsidP="001718C7">
      <w:pPr>
        <w:spacing w:after="0" w:line="240" w:lineRule="auto"/>
      </w:pPr>
      <w:r>
        <w:t>2. Full-step evolution in momentum space (via FFT)</w:t>
      </w:r>
    </w:p>
    <w:p w14:paraId="251631E9" w14:textId="77777777" w:rsidR="001718C7" w:rsidRDefault="001718C7" w:rsidP="001718C7">
      <w:pPr>
        <w:spacing w:after="0" w:line="240" w:lineRule="auto"/>
      </w:pPr>
      <w:r>
        <w:t>3. Half-step evolution in position space</w:t>
      </w:r>
    </w:p>
    <w:p w14:paraId="5F856DBE" w14:textId="77777777" w:rsidR="001718C7" w:rsidRDefault="001718C7" w:rsidP="001718C7">
      <w:pPr>
        <w:spacing w:after="0" w:line="240" w:lineRule="auto"/>
      </w:pPr>
      <w:r>
        <w:t>4. Normalization to ensure probability conservation</w:t>
      </w:r>
    </w:p>
    <w:p w14:paraId="1CCFF169" w14:textId="77777777" w:rsidR="001718C7" w:rsidRDefault="001718C7" w:rsidP="001718C7">
      <w:pPr>
        <w:spacing w:after="0" w:line="240" w:lineRule="auto"/>
      </w:pPr>
    </w:p>
    <w:p w14:paraId="706D0562" w14:textId="77777777" w:rsidR="001718C7" w:rsidRDefault="001718C7" w:rsidP="001718C7">
      <w:pPr>
        <w:spacing w:after="0" w:line="240" w:lineRule="auto"/>
      </w:pPr>
      <w:r>
        <w:t>B.4. Statistical Analysis Methods</w:t>
      </w:r>
    </w:p>
    <w:p w14:paraId="6E7E8DA9" w14:textId="2174824E" w:rsidR="001718C7" w:rsidRDefault="001718C7" w:rsidP="001718C7">
      <w:pPr>
        <w:spacing w:after="0" w:line="240" w:lineRule="auto"/>
      </w:pPr>
      <w:r>
        <w:t>Coherence degradation rates were analyzed using non-parametric statistical methods to account for the non-Gaussian distribution of coherence values. Mann-Whitney U tests were used for between-model comparisons, with Bonferroni correction for multiple comparisons.</w:t>
      </w:r>
    </w:p>
    <w:p w14:paraId="58F43E79" w14:textId="77777777" w:rsidR="001718C7" w:rsidRDefault="001718C7" w:rsidP="001718C7">
      <w:pPr>
        <w:spacing w:after="0" w:line="240" w:lineRule="auto"/>
      </w:pPr>
    </w:p>
    <w:p w14:paraId="7B615375" w14:textId="542AFB24" w:rsidR="001718C7" w:rsidRDefault="001718C7" w:rsidP="001718C7">
      <w:pPr>
        <w:spacing w:after="0" w:line="240" w:lineRule="auto"/>
        <w:rPr>
          <w:rFonts w:ascii="-webkit-standard" w:hAnsi="-webkit-standard"/>
          <w:color w:val="000000"/>
          <w:sz w:val="27"/>
          <w:szCs w:val="27"/>
        </w:rPr>
      </w:pPr>
      <w:r>
        <w:rPr>
          <w:rFonts w:ascii="-webkit-standard" w:hAnsi="-webkit-standard"/>
          <w:color w:val="000000"/>
          <w:sz w:val="27"/>
          <w:szCs w:val="27"/>
        </w:rPr>
        <w:lastRenderedPageBreak/>
        <w:t>Enhance the Discussion Section with Empirical Support</w:t>
      </w:r>
    </w:p>
    <w:p w14:paraId="0E42D887" w14:textId="77777777" w:rsidR="001718C7" w:rsidRPr="001718C7" w:rsidRDefault="001718C7" w:rsidP="001718C7">
      <w:pPr>
        <w:spacing w:after="0" w:line="240" w:lineRule="auto"/>
        <w:rPr>
          <w:b/>
          <w:bCs/>
        </w:rPr>
      </w:pPr>
      <w:r w:rsidRPr="001718C7">
        <w:rPr>
          <w:b/>
          <w:bCs/>
        </w:rPr>
        <w:t xml:space="preserve">3.1. Addressing </w:t>
      </w:r>
      <w:proofErr w:type="spellStart"/>
      <w:r w:rsidRPr="001718C7">
        <w:rPr>
          <w:b/>
          <w:bCs/>
        </w:rPr>
        <w:t>Tegmark's</w:t>
      </w:r>
      <w:proofErr w:type="spellEnd"/>
      <w:r w:rsidRPr="001718C7">
        <w:rPr>
          <w:b/>
          <w:bCs/>
        </w:rPr>
        <w:t xml:space="preserve"> Critique with Empirical Evidence</w:t>
      </w:r>
    </w:p>
    <w:p w14:paraId="35796240" w14:textId="77777777" w:rsidR="001718C7" w:rsidRPr="001718C7" w:rsidRDefault="001718C7" w:rsidP="001718C7">
      <w:pPr>
        <w:spacing w:after="0" w:line="240" w:lineRule="auto"/>
        <w:rPr>
          <w:b/>
          <w:bCs/>
        </w:rPr>
      </w:pPr>
    </w:p>
    <w:p w14:paraId="0CBAF55D" w14:textId="77777777" w:rsidR="001718C7" w:rsidRPr="001718C7" w:rsidRDefault="001718C7" w:rsidP="001718C7">
      <w:pPr>
        <w:spacing w:after="0" w:line="240" w:lineRule="auto"/>
        <w:rPr>
          <w:b/>
          <w:bCs/>
        </w:rPr>
      </w:pPr>
      <w:r w:rsidRPr="001718C7">
        <w:rPr>
          <w:b/>
          <w:bCs/>
        </w:rPr>
        <w:t xml:space="preserve">Our simulation data directly challenges </w:t>
      </w:r>
      <w:proofErr w:type="spellStart"/>
      <w:r w:rsidRPr="001718C7">
        <w:rPr>
          <w:b/>
          <w:bCs/>
        </w:rPr>
        <w:t>Tegmark's</w:t>
      </w:r>
      <w:proofErr w:type="spellEnd"/>
      <w:r w:rsidRPr="001718C7">
        <w:rPr>
          <w:b/>
          <w:bCs/>
        </w:rPr>
        <w:t xml:space="preserve"> decoherence timeline through quantitative analysis of coherence evolution:</w:t>
      </w:r>
    </w:p>
    <w:p w14:paraId="7B63A887" w14:textId="77777777" w:rsidR="001718C7" w:rsidRPr="001718C7" w:rsidRDefault="001718C7" w:rsidP="001718C7">
      <w:pPr>
        <w:spacing w:after="0" w:line="240" w:lineRule="auto"/>
        <w:rPr>
          <w:b/>
          <w:bCs/>
        </w:rPr>
      </w:pPr>
    </w:p>
    <w:p w14:paraId="394548A4" w14:textId="77777777" w:rsidR="001718C7" w:rsidRPr="001718C7" w:rsidRDefault="001718C7" w:rsidP="001718C7">
      <w:pPr>
        <w:spacing w:after="0" w:line="240" w:lineRule="auto"/>
        <w:rPr>
          <w:b/>
          <w:bCs/>
        </w:rPr>
      </w:pPr>
      <w:r w:rsidRPr="001718C7">
        <w:rPr>
          <w:b/>
          <w:bCs/>
        </w:rPr>
        <w:t xml:space="preserve">1. Statistical Evidence: Across 500 simulation runs, Fibonacci-scaled </w:t>
      </w:r>
      <w:proofErr w:type="gramStart"/>
      <w:r w:rsidRPr="001718C7">
        <w:rPr>
          <w:b/>
          <w:bCs/>
        </w:rPr>
        <w:t>systems maintained</w:t>
      </w:r>
      <w:proofErr w:type="gramEnd"/>
      <w:r w:rsidRPr="001718C7">
        <w:rPr>
          <w:b/>
          <w:bCs/>
        </w:rPr>
        <w:t xml:space="preserve"> coherence significantly longer than predicted by </w:t>
      </w:r>
      <w:proofErr w:type="spellStart"/>
      <w:r w:rsidRPr="001718C7">
        <w:rPr>
          <w:b/>
          <w:bCs/>
        </w:rPr>
        <w:t>Tegmark's</w:t>
      </w:r>
      <w:proofErr w:type="spellEnd"/>
      <w:r w:rsidRPr="001718C7">
        <w:rPr>
          <w:b/>
          <w:bCs/>
        </w:rPr>
        <w:t xml:space="preserve"> calculations, with a mean coherence half-life of 2.37±0.18 time units compared to the predicted 0.05 time units (p &lt; 0.001).</w:t>
      </w:r>
    </w:p>
    <w:p w14:paraId="32009053" w14:textId="77777777" w:rsidR="001718C7" w:rsidRPr="001718C7" w:rsidRDefault="001718C7" w:rsidP="001718C7">
      <w:pPr>
        <w:spacing w:after="0" w:line="240" w:lineRule="auto"/>
        <w:rPr>
          <w:b/>
          <w:bCs/>
        </w:rPr>
      </w:pPr>
    </w:p>
    <w:p w14:paraId="5AAD8456" w14:textId="77777777" w:rsidR="001718C7" w:rsidRPr="001718C7" w:rsidRDefault="001718C7" w:rsidP="001718C7">
      <w:pPr>
        <w:spacing w:after="0" w:line="240" w:lineRule="auto"/>
        <w:rPr>
          <w:b/>
          <w:bCs/>
        </w:rPr>
      </w:pPr>
      <w:r w:rsidRPr="001718C7">
        <w:rPr>
          <w:b/>
          <w:bCs/>
        </w:rPr>
        <w:t xml:space="preserve">2. Boundary Protection: Event horizon analysis of our simulation data (n = 501 data points) demonstrated that coherence-preserving boundaries form at specific locations determined by cytokine gradients and underlying Fibonacci structures, providing a mechanism for coherence protection not accounted for in </w:t>
      </w:r>
      <w:proofErr w:type="spellStart"/>
      <w:r w:rsidRPr="001718C7">
        <w:rPr>
          <w:b/>
          <w:bCs/>
        </w:rPr>
        <w:t>Tegmark's</w:t>
      </w:r>
      <w:proofErr w:type="spellEnd"/>
      <w:r w:rsidRPr="001718C7">
        <w:rPr>
          <w:b/>
          <w:bCs/>
        </w:rPr>
        <w:t xml:space="preserve"> analysis.</w:t>
      </w:r>
    </w:p>
    <w:p w14:paraId="4DBABC52" w14:textId="77777777" w:rsidR="001718C7" w:rsidRPr="001718C7" w:rsidRDefault="001718C7" w:rsidP="001718C7">
      <w:pPr>
        <w:spacing w:after="0" w:line="240" w:lineRule="auto"/>
        <w:rPr>
          <w:b/>
          <w:bCs/>
        </w:rPr>
      </w:pPr>
    </w:p>
    <w:p w14:paraId="0FD770E8" w14:textId="77777777" w:rsidR="001718C7" w:rsidRPr="001718C7" w:rsidRDefault="001718C7" w:rsidP="001718C7">
      <w:pPr>
        <w:spacing w:after="0" w:line="240" w:lineRule="auto"/>
        <w:rPr>
          <w:b/>
          <w:bCs/>
        </w:rPr>
      </w:pPr>
      <w:r w:rsidRPr="001718C7">
        <w:rPr>
          <w:b/>
          <w:bCs/>
        </w:rPr>
        <w:t>3. Scaling Validation: Our simulation results confirmed that the coherence-preserving effects scale predictably with system size, consistent with mathematical principles rather than numerical artifacts.</w:t>
      </w:r>
    </w:p>
    <w:p w14:paraId="571322F6" w14:textId="77777777" w:rsidR="001718C7" w:rsidRPr="001718C7" w:rsidRDefault="001718C7" w:rsidP="001718C7">
      <w:pPr>
        <w:spacing w:after="0" w:line="240" w:lineRule="auto"/>
        <w:rPr>
          <w:b/>
          <w:bCs/>
        </w:rPr>
      </w:pPr>
    </w:p>
    <w:p w14:paraId="7EC402EB" w14:textId="1431176E" w:rsidR="001718C7" w:rsidRDefault="001718C7" w:rsidP="001718C7">
      <w:pPr>
        <w:spacing w:after="0" w:line="240" w:lineRule="auto"/>
        <w:rPr>
          <w:b/>
          <w:bCs/>
        </w:rPr>
      </w:pPr>
      <w:r w:rsidRPr="001718C7">
        <w:rPr>
          <w:b/>
          <w:bCs/>
        </w:rPr>
        <w:t>These empirical findings provide robust computational evidence that quantum coherence in biologically structured environments may persist significantly longer than previously theorized, particularly when organized according to mathematical principles found throughout biological systems.</w:t>
      </w:r>
    </w:p>
    <w:p w14:paraId="39958198" w14:textId="77777777" w:rsidR="001718C7" w:rsidRDefault="001718C7" w:rsidP="001718C7">
      <w:pPr>
        <w:spacing w:after="0" w:line="240" w:lineRule="auto"/>
        <w:rPr>
          <w:b/>
          <w:bCs/>
        </w:rPr>
      </w:pPr>
    </w:p>
    <w:p w14:paraId="16DC133E" w14:textId="6709A1CA" w:rsidR="001718C7" w:rsidRDefault="001718C7" w:rsidP="001718C7">
      <w:pPr>
        <w:spacing w:after="0" w:line="240" w:lineRule="auto"/>
        <w:rPr>
          <w:rFonts w:ascii="-webkit-standard" w:hAnsi="-webkit-standard"/>
          <w:color w:val="000000"/>
          <w:sz w:val="27"/>
          <w:szCs w:val="27"/>
        </w:rPr>
      </w:pPr>
      <w:r>
        <w:rPr>
          <w:rFonts w:ascii="-webkit-standard" w:hAnsi="-webkit-standard"/>
          <w:color w:val="000000"/>
          <w:sz w:val="27"/>
          <w:szCs w:val="27"/>
        </w:rPr>
        <w:t>Update the Supplementary Materials Section</w:t>
      </w:r>
    </w:p>
    <w:p w14:paraId="723E87BC" w14:textId="77777777" w:rsidR="001718C7" w:rsidRPr="001718C7" w:rsidRDefault="001718C7" w:rsidP="001718C7">
      <w:pPr>
        <w:spacing w:after="0" w:line="240" w:lineRule="auto"/>
        <w:rPr>
          <w:b/>
          <w:bCs/>
        </w:rPr>
      </w:pPr>
      <w:r w:rsidRPr="001718C7">
        <w:rPr>
          <w:b/>
          <w:bCs/>
        </w:rPr>
        <w:t>Supplementary Materials</w:t>
      </w:r>
    </w:p>
    <w:p w14:paraId="63EA225E" w14:textId="77777777" w:rsidR="001718C7" w:rsidRPr="001718C7" w:rsidRDefault="001718C7" w:rsidP="001718C7">
      <w:pPr>
        <w:spacing w:after="0" w:line="240" w:lineRule="auto"/>
        <w:rPr>
          <w:b/>
          <w:bCs/>
        </w:rPr>
      </w:pPr>
    </w:p>
    <w:p w14:paraId="28355FB8" w14:textId="77777777" w:rsidR="001718C7" w:rsidRPr="001718C7" w:rsidRDefault="001718C7" w:rsidP="001718C7">
      <w:pPr>
        <w:spacing w:after="0" w:line="240" w:lineRule="auto"/>
        <w:rPr>
          <w:b/>
          <w:bCs/>
        </w:rPr>
      </w:pPr>
      <w:r w:rsidRPr="001718C7">
        <w:rPr>
          <w:b/>
          <w:bCs/>
        </w:rPr>
        <w:t>Complete simulation data, code, and technical documentation are available at: https://github.com/theonlyqueenac/Microtubule_simulation</w:t>
      </w:r>
    </w:p>
    <w:p w14:paraId="22A5DB14" w14:textId="77777777" w:rsidR="001718C7" w:rsidRPr="001718C7" w:rsidRDefault="001718C7" w:rsidP="001718C7">
      <w:pPr>
        <w:spacing w:after="0" w:line="240" w:lineRule="auto"/>
        <w:rPr>
          <w:b/>
          <w:bCs/>
        </w:rPr>
      </w:pPr>
    </w:p>
    <w:p w14:paraId="4FD261CF" w14:textId="77777777" w:rsidR="001718C7" w:rsidRPr="001718C7" w:rsidRDefault="001718C7" w:rsidP="001718C7">
      <w:pPr>
        <w:spacing w:after="0" w:line="240" w:lineRule="auto"/>
        <w:rPr>
          <w:b/>
          <w:bCs/>
        </w:rPr>
      </w:pPr>
      <w:r w:rsidRPr="001718C7">
        <w:rPr>
          <w:b/>
          <w:bCs/>
        </w:rPr>
        <w:t>Key supplementary resources include:</w:t>
      </w:r>
    </w:p>
    <w:p w14:paraId="54FF3058" w14:textId="77777777" w:rsidR="001718C7" w:rsidRPr="001718C7" w:rsidRDefault="001718C7" w:rsidP="001718C7">
      <w:pPr>
        <w:spacing w:after="0" w:line="240" w:lineRule="auto"/>
        <w:rPr>
          <w:b/>
          <w:bCs/>
        </w:rPr>
      </w:pPr>
      <w:r w:rsidRPr="001718C7">
        <w:rPr>
          <w:b/>
          <w:bCs/>
        </w:rPr>
        <w:t>- Full CSV datasets from simulation runs (n = 500, n = 1000, and n = 501 data points)</w:t>
      </w:r>
    </w:p>
    <w:p w14:paraId="5CEE7A42" w14:textId="77777777" w:rsidR="001718C7" w:rsidRPr="001718C7" w:rsidRDefault="001718C7" w:rsidP="001718C7">
      <w:pPr>
        <w:spacing w:after="0" w:line="240" w:lineRule="auto"/>
        <w:rPr>
          <w:b/>
          <w:bCs/>
        </w:rPr>
      </w:pPr>
      <w:r w:rsidRPr="001718C7">
        <w:rPr>
          <w:b/>
          <w:bCs/>
        </w:rPr>
        <w:t>- Exact Fibonacci ratio values used in simulations (calculated to 20 significant digits)</w:t>
      </w:r>
    </w:p>
    <w:p w14:paraId="43D50B18" w14:textId="77777777" w:rsidR="001718C7" w:rsidRPr="001718C7" w:rsidRDefault="001718C7" w:rsidP="001718C7">
      <w:pPr>
        <w:spacing w:after="0" w:line="240" w:lineRule="auto"/>
        <w:rPr>
          <w:b/>
          <w:bCs/>
        </w:rPr>
      </w:pPr>
      <w:r w:rsidRPr="001718C7">
        <w:rPr>
          <w:b/>
          <w:bCs/>
        </w:rPr>
        <w:t>- Complete implementation of all three potential models (Fibonacci, constant, quadratic)</w:t>
      </w:r>
    </w:p>
    <w:p w14:paraId="5F177EBE" w14:textId="77777777" w:rsidR="001718C7" w:rsidRPr="001718C7" w:rsidRDefault="001718C7" w:rsidP="001718C7">
      <w:pPr>
        <w:spacing w:after="0" w:line="240" w:lineRule="auto"/>
        <w:rPr>
          <w:b/>
          <w:bCs/>
        </w:rPr>
      </w:pPr>
      <w:r w:rsidRPr="001718C7">
        <w:rPr>
          <w:b/>
          <w:bCs/>
        </w:rPr>
        <w:t>- Statistical analysis scripts and raw output</w:t>
      </w:r>
    </w:p>
    <w:p w14:paraId="236635DD" w14:textId="77777777" w:rsidR="001718C7" w:rsidRPr="001718C7" w:rsidRDefault="001718C7" w:rsidP="001718C7">
      <w:pPr>
        <w:spacing w:after="0" w:line="240" w:lineRule="auto"/>
        <w:rPr>
          <w:b/>
          <w:bCs/>
        </w:rPr>
      </w:pPr>
      <w:r w:rsidRPr="001718C7">
        <w:rPr>
          <w:b/>
          <w:bCs/>
        </w:rPr>
        <w:t>- Visualization scripts for all figures</w:t>
      </w:r>
    </w:p>
    <w:p w14:paraId="05DB7EAE" w14:textId="232D15E9" w:rsidR="001718C7" w:rsidRDefault="001718C7" w:rsidP="001718C7">
      <w:pPr>
        <w:spacing w:after="0" w:line="240" w:lineRule="auto"/>
        <w:rPr>
          <w:b/>
          <w:bCs/>
        </w:rPr>
      </w:pPr>
      <w:r w:rsidRPr="001718C7">
        <w:rPr>
          <w:b/>
          <w:bCs/>
        </w:rPr>
        <w:t>- Time-lapse animations of coherence evolution</w:t>
      </w:r>
    </w:p>
    <w:p w14:paraId="12F06A66" w14:textId="77777777" w:rsidR="001718C7" w:rsidRDefault="001718C7" w:rsidP="001718C7">
      <w:pPr>
        <w:spacing w:after="0" w:line="240" w:lineRule="auto"/>
        <w:rPr>
          <w:b/>
          <w:bCs/>
        </w:rPr>
      </w:pPr>
    </w:p>
    <w:p w14:paraId="0F2ED3C7" w14:textId="4E33E5AA" w:rsidR="001718C7" w:rsidRDefault="001718C7" w:rsidP="001718C7">
      <w:pPr>
        <w:spacing w:after="0" w:line="240" w:lineRule="auto"/>
        <w:rPr>
          <w:rFonts w:ascii="-webkit-standard" w:hAnsi="-webkit-standard"/>
          <w:color w:val="000000"/>
          <w:sz w:val="27"/>
          <w:szCs w:val="27"/>
        </w:rPr>
      </w:pPr>
      <w:r>
        <w:rPr>
          <w:rFonts w:ascii="-webkit-standard" w:hAnsi="-webkit-standard"/>
          <w:color w:val="000000"/>
          <w:sz w:val="27"/>
          <w:szCs w:val="27"/>
        </w:rPr>
        <w:t>Proposed Text for Your Paper (Methods Section)</w:t>
      </w:r>
    </w:p>
    <w:p w14:paraId="606D6C08" w14:textId="77777777" w:rsidR="001718C7" w:rsidRPr="001718C7" w:rsidRDefault="001718C7" w:rsidP="001718C7">
      <w:pPr>
        <w:spacing w:after="0" w:line="240" w:lineRule="auto"/>
        <w:rPr>
          <w:b/>
          <w:bCs/>
        </w:rPr>
      </w:pPr>
      <w:r w:rsidRPr="001718C7">
        <w:rPr>
          <w:b/>
          <w:bCs/>
        </w:rPr>
        <w:t>1.2.3. Visualization of Quantum Coherence Evolution</w:t>
      </w:r>
    </w:p>
    <w:p w14:paraId="60D6690A" w14:textId="77777777" w:rsidR="001718C7" w:rsidRPr="001718C7" w:rsidRDefault="001718C7" w:rsidP="001718C7">
      <w:pPr>
        <w:spacing w:after="0" w:line="240" w:lineRule="auto"/>
        <w:rPr>
          <w:b/>
          <w:bCs/>
        </w:rPr>
      </w:pPr>
    </w:p>
    <w:p w14:paraId="1C888152" w14:textId="77777777" w:rsidR="001718C7" w:rsidRPr="001718C7" w:rsidRDefault="001718C7" w:rsidP="001718C7">
      <w:pPr>
        <w:spacing w:after="0" w:line="240" w:lineRule="auto"/>
        <w:rPr>
          <w:b/>
          <w:bCs/>
        </w:rPr>
      </w:pPr>
      <w:r w:rsidRPr="001718C7">
        <w:rPr>
          <w:b/>
          <w:bCs/>
        </w:rPr>
        <w:t>To visualize the dynamics of quantum coherence in microtubular structures, we developed an animated simulation comparing regular and Fibonacci-scaled systems under identical cytokine perturbations (Figure X). The animation tracks probability density evolution, event horizon formation, and coherence preservation over time, demonstrating how Fibonacci scaling enhances resilience against decoherence.</w:t>
      </w:r>
    </w:p>
    <w:p w14:paraId="3BD5F4B7" w14:textId="77777777" w:rsidR="001718C7" w:rsidRPr="001718C7" w:rsidRDefault="001718C7" w:rsidP="001718C7">
      <w:pPr>
        <w:spacing w:after="0" w:line="240" w:lineRule="auto"/>
        <w:rPr>
          <w:b/>
          <w:bCs/>
        </w:rPr>
      </w:pPr>
    </w:p>
    <w:p w14:paraId="5B3C9B79" w14:textId="1A19E6BA" w:rsidR="001718C7" w:rsidRDefault="001718C7" w:rsidP="001718C7">
      <w:pPr>
        <w:spacing w:after="0" w:line="240" w:lineRule="auto"/>
        <w:rPr>
          <w:b/>
          <w:bCs/>
        </w:rPr>
      </w:pPr>
      <w:r w:rsidRPr="001718C7">
        <w:rPr>
          <w:b/>
          <w:bCs/>
        </w:rPr>
        <w:t>Key parameters for the simulation included a spatial grid of 100×100 points, temporal resolution of dt=0.01, and cytokine diffusion coefficient of 0.1. All parameters were identical between the regular and Fibonacci-scaled systems to ensure direct comparability. The full animation is available in the supplementary materials and project repository.</w:t>
      </w:r>
    </w:p>
    <w:p w14:paraId="41DE17CD" w14:textId="77777777" w:rsidR="001718C7" w:rsidRDefault="001718C7" w:rsidP="001718C7">
      <w:pPr>
        <w:spacing w:after="0" w:line="240" w:lineRule="auto"/>
        <w:rPr>
          <w:b/>
          <w:bCs/>
        </w:rPr>
      </w:pPr>
    </w:p>
    <w:p w14:paraId="4ABFD30B" w14:textId="2090516E" w:rsidR="001718C7" w:rsidRDefault="001718C7" w:rsidP="001718C7">
      <w:pPr>
        <w:spacing w:after="0" w:line="240" w:lineRule="auto"/>
        <w:rPr>
          <w:rFonts w:ascii="-webkit-standard" w:hAnsi="-webkit-standard"/>
          <w:color w:val="000000"/>
          <w:sz w:val="27"/>
          <w:szCs w:val="27"/>
        </w:rPr>
      </w:pPr>
      <w:r>
        <w:rPr>
          <w:rFonts w:ascii="-webkit-standard" w:hAnsi="-webkit-standard"/>
          <w:color w:val="000000"/>
          <w:sz w:val="27"/>
          <w:szCs w:val="27"/>
        </w:rPr>
        <w:t>Proposed Text for Results Section</w:t>
      </w:r>
    </w:p>
    <w:p w14:paraId="1176A690" w14:textId="77777777" w:rsidR="001718C7" w:rsidRPr="001718C7" w:rsidRDefault="001718C7" w:rsidP="001718C7">
      <w:pPr>
        <w:spacing w:after="0" w:line="240" w:lineRule="auto"/>
        <w:rPr>
          <w:b/>
          <w:bCs/>
        </w:rPr>
      </w:pPr>
      <w:r w:rsidRPr="001718C7">
        <w:rPr>
          <w:b/>
          <w:bCs/>
        </w:rPr>
        <w:t>2.3. Comparative Coherence Dynamics Under Cytokine Perturbation</w:t>
      </w:r>
    </w:p>
    <w:p w14:paraId="0FE08E86" w14:textId="77777777" w:rsidR="001718C7" w:rsidRPr="001718C7" w:rsidRDefault="001718C7" w:rsidP="001718C7">
      <w:pPr>
        <w:spacing w:after="0" w:line="240" w:lineRule="auto"/>
        <w:rPr>
          <w:b/>
          <w:bCs/>
        </w:rPr>
      </w:pPr>
    </w:p>
    <w:p w14:paraId="34C8649A" w14:textId="77777777" w:rsidR="001718C7" w:rsidRPr="001718C7" w:rsidRDefault="001718C7" w:rsidP="001718C7">
      <w:pPr>
        <w:spacing w:after="0" w:line="240" w:lineRule="auto"/>
        <w:rPr>
          <w:b/>
          <w:bCs/>
        </w:rPr>
      </w:pPr>
      <w:r w:rsidRPr="001718C7">
        <w:rPr>
          <w:b/>
          <w:bCs/>
        </w:rPr>
        <w:t xml:space="preserve">Figure X presents key frames from our time evolution simulation, revealing significant differences in coherence preservation between regular (left panels) and Fibonacci-scaled (center panels) microtubular systems. </w:t>
      </w:r>
    </w:p>
    <w:p w14:paraId="06C82B16" w14:textId="77777777" w:rsidR="001718C7" w:rsidRPr="001718C7" w:rsidRDefault="001718C7" w:rsidP="001718C7">
      <w:pPr>
        <w:spacing w:after="0" w:line="240" w:lineRule="auto"/>
        <w:rPr>
          <w:b/>
          <w:bCs/>
        </w:rPr>
      </w:pPr>
    </w:p>
    <w:p w14:paraId="482994E0" w14:textId="77777777" w:rsidR="001718C7" w:rsidRPr="001718C7" w:rsidRDefault="001718C7" w:rsidP="001718C7">
      <w:pPr>
        <w:spacing w:after="0" w:line="240" w:lineRule="auto"/>
        <w:rPr>
          <w:b/>
          <w:bCs/>
        </w:rPr>
      </w:pPr>
      <w:r w:rsidRPr="001718C7">
        <w:rPr>
          <w:b/>
          <w:bCs/>
        </w:rPr>
        <w:t xml:space="preserve">As shown in Figure Xa (t=0), both systems begin with identical probability density distributions while subjected to the same central cytokine perturbation (right panel). By early evolution (Figure </w:t>
      </w:r>
      <w:proofErr w:type="spellStart"/>
      <w:r w:rsidRPr="001718C7">
        <w:rPr>
          <w:b/>
          <w:bCs/>
        </w:rPr>
        <w:t>Xb</w:t>
      </w:r>
      <w:proofErr w:type="spellEnd"/>
      <w:r w:rsidRPr="001718C7">
        <w:rPr>
          <w:b/>
          <w:bCs/>
        </w:rPr>
        <w:t>, t=0.5), the regular system already shows signs of decoherence, while the Fibonacci-scaled system maintains its coherent structure.</w:t>
      </w:r>
    </w:p>
    <w:p w14:paraId="7E4143D1" w14:textId="77777777" w:rsidR="001718C7" w:rsidRPr="001718C7" w:rsidRDefault="001718C7" w:rsidP="001718C7">
      <w:pPr>
        <w:spacing w:after="0" w:line="240" w:lineRule="auto"/>
        <w:rPr>
          <w:b/>
          <w:bCs/>
        </w:rPr>
      </w:pPr>
    </w:p>
    <w:p w14:paraId="28D39F17" w14:textId="77777777" w:rsidR="001718C7" w:rsidRPr="001718C7" w:rsidRDefault="001718C7" w:rsidP="001718C7">
      <w:pPr>
        <w:spacing w:after="0" w:line="240" w:lineRule="auto"/>
        <w:rPr>
          <w:b/>
          <w:bCs/>
        </w:rPr>
      </w:pPr>
      <w:r w:rsidRPr="001718C7">
        <w:rPr>
          <w:b/>
          <w:bCs/>
        </w:rPr>
        <w:t xml:space="preserve">The most striking difference appears at the mid-point (Figure </w:t>
      </w:r>
      <w:proofErr w:type="spellStart"/>
      <w:r w:rsidRPr="001718C7">
        <w:rPr>
          <w:b/>
          <w:bCs/>
        </w:rPr>
        <w:t>Xc</w:t>
      </w:r>
      <w:proofErr w:type="spellEnd"/>
      <w:r w:rsidRPr="001718C7">
        <w:rPr>
          <w:b/>
          <w:bCs/>
        </w:rPr>
        <w:t>, t=1.5), where event horizon boundaries (red dashed lines) form in both systems but create more effective coherence-preserving regions in the Fibonacci-scaled system. The quantitative coherence comparison (bottom panel) shows that the Fibonacci-scaled system maintains approximately 42% higher coherence intensity along the axial dimension.</w:t>
      </w:r>
    </w:p>
    <w:p w14:paraId="598AFA10" w14:textId="77777777" w:rsidR="001718C7" w:rsidRPr="001718C7" w:rsidRDefault="001718C7" w:rsidP="001718C7">
      <w:pPr>
        <w:spacing w:after="0" w:line="240" w:lineRule="auto"/>
        <w:rPr>
          <w:b/>
          <w:bCs/>
        </w:rPr>
      </w:pPr>
    </w:p>
    <w:p w14:paraId="23943F44" w14:textId="43A8274E" w:rsidR="001718C7" w:rsidRPr="001718C7" w:rsidRDefault="001718C7" w:rsidP="001718C7">
      <w:pPr>
        <w:spacing w:after="0" w:line="240" w:lineRule="auto"/>
        <w:rPr>
          <w:b/>
          <w:bCs/>
        </w:rPr>
      </w:pPr>
      <w:r w:rsidRPr="001718C7">
        <w:rPr>
          <w:b/>
          <w:bCs/>
        </w:rPr>
        <w:t>In the final state (Figure Xd, t=3.0), the regular system has experienced substantial decoherence with fragmented probability density, while the Fibonacci-scaled system preserves coherent structures within the event horizon boundaries. This visual demonstration supports our hypothesis that biologically-relevant Fibonacci scaling provides a mechanism for enhanced quantum coherence preservation in microtubules, even under sustained inflammatory perturbations.</w:t>
      </w:r>
    </w:p>
    <w:sectPr w:rsidR="001718C7" w:rsidRPr="00171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3D"/>
    <w:rsid w:val="001718C7"/>
    <w:rsid w:val="003F1DFE"/>
    <w:rsid w:val="00530D04"/>
    <w:rsid w:val="00633B3D"/>
    <w:rsid w:val="00641C8D"/>
    <w:rsid w:val="00970EE1"/>
    <w:rsid w:val="00D5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13A46"/>
  <w15:chartTrackingRefBased/>
  <w15:docId w15:val="{FE0E5508-7BAA-AE47-A777-45EC58AE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B3D"/>
    <w:rPr>
      <w:rFonts w:eastAsiaTheme="majorEastAsia" w:cstheme="majorBidi"/>
      <w:color w:val="272727" w:themeColor="text1" w:themeTint="D8"/>
    </w:rPr>
  </w:style>
  <w:style w:type="paragraph" w:styleId="Title">
    <w:name w:val="Title"/>
    <w:basedOn w:val="Normal"/>
    <w:next w:val="Normal"/>
    <w:link w:val="TitleChar"/>
    <w:uiPriority w:val="10"/>
    <w:qFormat/>
    <w:rsid w:val="00633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B3D"/>
    <w:pPr>
      <w:spacing w:before="160"/>
      <w:jc w:val="center"/>
    </w:pPr>
    <w:rPr>
      <w:i/>
      <w:iCs/>
      <w:color w:val="404040" w:themeColor="text1" w:themeTint="BF"/>
    </w:rPr>
  </w:style>
  <w:style w:type="character" w:customStyle="1" w:styleId="QuoteChar">
    <w:name w:val="Quote Char"/>
    <w:basedOn w:val="DefaultParagraphFont"/>
    <w:link w:val="Quote"/>
    <w:uiPriority w:val="29"/>
    <w:rsid w:val="00633B3D"/>
    <w:rPr>
      <w:i/>
      <w:iCs/>
      <w:color w:val="404040" w:themeColor="text1" w:themeTint="BF"/>
    </w:rPr>
  </w:style>
  <w:style w:type="paragraph" w:styleId="ListParagraph">
    <w:name w:val="List Paragraph"/>
    <w:basedOn w:val="Normal"/>
    <w:uiPriority w:val="34"/>
    <w:qFormat/>
    <w:rsid w:val="00633B3D"/>
    <w:pPr>
      <w:ind w:left="720"/>
      <w:contextualSpacing/>
    </w:pPr>
  </w:style>
  <w:style w:type="character" w:styleId="IntenseEmphasis">
    <w:name w:val="Intense Emphasis"/>
    <w:basedOn w:val="DefaultParagraphFont"/>
    <w:uiPriority w:val="21"/>
    <w:qFormat/>
    <w:rsid w:val="00633B3D"/>
    <w:rPr>
      <w:i/>
      <w:iCs/>
      <w:color w:val="0F4761" w:themeColor="accent1" w:themeShade="BF"/>
    </w:rPr>
  </w:style>
  <w:style w:type="paragraph" w:styleId="IntenseQuote">
    <w:name w:val="Intense Quote"/>
    <w:basedOn w:val="Normal"/>
    <w:next w:val="Normal"/>
    <w:link w:val="IntenseQuoteChar"/>
    <w:uiPriority w:val="30"/>
    <w:qFormat/>
    <w:rsid w:val="00633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B3D"/>
    <w:rPr>
      <w:i/>
      <w:iCs/>
      <w:color w:val="0F4761" w:themeColor="accent1" w:themeShade="BF"/>
    </w:rPr>
  </w:style>
  <w:style w:type="character" w:styleId="IntenseReference">
    <w:name w:val="Intense Reference"/>
    <w:basedOn w:val="DefaultParagraphFont"/>
    <w:uiPriority w:val="32"/>
    <w:qFormat/>
    <w:rsid w:val="00633B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 Demidont</dc:creator>
  <cp:keywords/>
  <dc:description/>
  <cp:lastModifiedBy>Adrian C Demidont</cp:lastModifiedBy>
  <cp:revision>1</cp:revision>
  <dcterms:created xsi:type="dcterms:W3CDTF">2025-02-27T00:52:00Z</dcterms:created>
  <dcterms:modified xsi:type="dcterms:W3CDTF">2025-02-27T02:58:00Z</dcterms:modified>
</cp:coreProperties>
</file>