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54AB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4916FCC9" w14:textId="77777777" w:rsidR="00994A3D" w:rsidRPr="001549D3" w:rsidRDefault="00994A3D" w:rsidP="00994A3D">
      <w:pPr>
        <w:keepNext/>
        <w:rPr>
          <w:rFonts w:cs="Times New Roman"/>
          <w:szCs w:val="24"/>
        </w:rPr>
      </w:pPr>
    </w:p>
    <w:p w14:paraId="11EC8DA1" w14:textId="60DCFED5" w:rsidR="00994A3D" w:rsidRPr="001549D3" w:rsidRDefault="0099438B" w:rsidP="00EB3CEC">
      <w:pPr>
        <w:keepNext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9291303" wp14:editId="5775344F">
            <wp:extent cx="6208395" cy="3700145"/>
            <wp:effectExtent l="0" t="0" r="1905" b="0"/>
            <wp:docPr id="2028262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2313" name="Picture 20282623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AED1" w14:textId="7DD7C917" w:rsidR="00DE23E8" w:rsidRDefault="00EB3CEC" w:rsidP="00EB3CEC">
      <w:pPr>
        <w:spacing w:before="240"/>
        <w:jc w:val="both"/>
        <w:rPr>
          <w:rFonts w:cs="Times New Roman"/>
          <w:bCs/>
          <w:szCs w:val="24"/>
        </w:rPr>
      </w:pPr>
      <w:r w:rsidRPr="00EB3CEC">
        <w:rPr>
          <w:rFonts w:cs="Times New Roman"/>
          <w:b/>
          <w:szCs w:val="24"/>
        </w:rPr>
        <w:t>Supplement</w:t>
      </w:r>
      <w:r>
        <w:rPr>
          <w:rFonts w:cs="Times New Roman"/>
          <w:b/>
          <w:szCs w:val="24"/>
        </w:rPr>
        <w:t>ary</w:t>
      </w:r>
      <w:r w:rsidRPr="00EB3CEC">
        <w:rPr>
          <w:rFonts w:cs="Times New Roman"/>
          <w:b/>
          <w:szCs w:val="24"/>
        </w:rPr>
        <w:t xml:space="preserve"> Figure 1.  Non-virally suppressed and virally suppressed PWH have a higher frequency of GFAP+ cells in the frontal cortex. </w:t>
      </w:r>
      <w:r w:rsidRPr="00EB3CEC">
        <w:rPr>
          <w:rFonts w:cs="Times New Roman"/>
          <w:bCs/>
          <w:szCs w:val="24"/>
        </w:rPr>
        <w:t xml:space="preserve">Frequency of (A-C) myeloid cells and (D-F) astrocytes in the total, white matter and grey matter of the frontal cortex from non-virally suppressed (nVS PWH; n=16-17) and virally suppressed people with HIV (VS PWH; n=17-18) and HIV seronegative controls (HIV-; n=6). Data </w:t>
      </w:r>
      <w:proofErr w:type="gramStart"/>
      <w:r w:rsidRPr="00EB3CEC">
        <w:rPr>
          <w:rFonts w:cs="Times New Roman"/>
          <w:bCs/>
          <w:szCs w:val="24"/>
        </w:rPr>
        <w:t>unavailable</w:t>
      </w:r>
      <w:proofErr w:type="gramEnd"/>
      <w:r w:rsidRPr="00EB3CEC">
        <w:rPr>
          <w:rFonts w:cs="Times New Roman"/>
          <w:bCs/>
          <w:szCs w:val="24"/>
        </w:rPr>
        <w:t xml:space="preserve"> for n=1 </w:t>
      </w:r>
      <w:r w:rsidRPr="00006B69">
        <w:rPr>
          <w:rFonts w:cs="Times New Roman"/>
          <w:bCs/>
          <w:szCs w:val="24"/>
        </w:rPr>
        <w:t xml:space="preserve">nVS PWH and n=1 VS PWH due to </w:t>
      </w:r>
      <w:proofErr w:type="gramStart"/>
      <w:r w:rsidRPr="00006B69">
        <w:rPr>
          <w:rFonts w:cs="Times New Roman"/>
          <w:bCs/>
          <w:szCs w:val="24"/>
        </w:rPr>
        <w:t>no</w:t>
      </w:r>
      <w:proofErr w:type="gramEnd"/>
      <w:r w:rsidRPr="00006B69">
        <w:rPr>
          <w:rFonts w:cs="Times New Roman"/>
          <w:bCs/>
          <w:szCs w:val="24"/>
        </w:rPr>
        <w:t xml:space="preserve"> grey matter region present in tissue section provided. </w:t>
      </w:r>
      <w:r w:rsidR="0099438B" w:rsidRPr="00006B69">
        <w:rPr>
          <w:rFonts w:cs="Times New Roman"/>
          <w:szCs w:val="24"/>
        </w:rPr>
        <w:t xml:space="preserve">Comparisons made using </w:t>
      </w:r>
      <w:r w:rsidR="0099438B" w:rsidRPr="00006B69">
        <w:t>Kruskal-Wallis test with Dunn’s post-hoc tests</w:t>
      </w:r>
      <w:r w:rsidR="0099438B" w:rsidRPr="00006B69">
        <w:rPr>
          <w:bCs/>
        </w:rPr>
        <w:t xml:space="preserve"> </w:t>
      </w:r>
      <w:r w:rsidR="0099438B" w:rsidRPr="00006B69">
        <w:rPr>
          <w:rFonts w:cs="Times New Roman"/>
          <w:szCs w:val="24"/>
        </w:rPr>
        <w:t>(*P&lt;0.05</w:t>
      </w:r>
      <w:r w:rsidR="0099438B" w:rsidRPr="00006B69">
        <w:rPr>
          <w:bCs/>
        </w:rPr>
        <w:t>; **P&lt;0.01; ***P&lt;0.001</w:t>
      </w:r>
      <w:r w:rsidR="0099438B" w:rsidRPr="00006B69">
        <w:rPr>
          <w:rFonts w:cs="Times New Roman"/>
          <w:szCs w:val="24"/>
        </w:rPr>
        <w:t>).</w:t>
      </w:r>
    </w:p>
    <w:p w14:paraId="26DAED3B" w14:textId="3AA18BEB" w:rsidR="00EB3CEC" w:rsidRDefault="00EB3CEC" w:rsidP="00EB3CEC">
      <w:pPr>
        <w:spacing w:before="240"/>
        <w:jc w:val="both"/>
        <w:rPr>
          <w:bCs/>
        </w:rPr>
      </w:pPr>
    </w:p>
    <w:p w14:paraId="62817C0D" w14:textId="77777777" w:rsidR="00EB3CEC" w:rsidRDefault="00EB3CEC">
      <w:pPr>
        <w:spacing w:before="0" w:after="200" w:line="276" w:lineRule="auto"/>
        <w:rPr>
          <w:bCs/>
        </w:rPr>
      </w:pPr>
      <w:r>
        <w:rPr>
          <w:bCs/>
        </w:rPr>
        <w:br w:type="page"/>
      </w:r>
    </w:p>
    <w:tbl>
      <w:tblPr>
        <w:tblStyle w:val="TableGrid"/>
        <w:tblpPr w:leftFromText="180" w:rightFromText="180" w:horzAnchor="margin" w:tblpY="13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0"/>
      </w:tblGrid>
      <w:tr w:rsidR="00EB3CEC" w:rsidRPr="00D0496F" w14:paraId="3ECA6ED6" w14:textId="77777777" w:rsidTr="00EB3CEC">
        <w:tc>
          <w:tcPr>
            <w:tcW w:w="9246" w:type="dxa"/>
          </w:tcPr>
          <w:p w14:paraId="146D43B0" w14:textId="67083D5A" w:rsidR="00EB3CEC" w:rsidRPr="00D0496F" w:rsidRDefault="0099438B" w:rsidP="00EB3CEC">
            <w:pPr>
              <w:spacing w:line="259" w:lineRule="auto"/>
              <w:rPr>
                <w:rFonts w:cs="Times New Roman"/>
              </w:rPr>
            </w:pPr>
            <w:r>
              <w:rPr>
                <w:rFonts w:cs="Times New Roman"/>
                <w:noProof/>
              </w:rPr>
              <w:lastRenderedPageBreak/>
              <w:drawing>
                <wp:inline distT="0" distB="0" distL="0" distR="0" wp14:anchorId="422683BB" wp14:editId="396449EF">
                  <wp:extent cx="5870448" cy="3622548"/>
                  <wp:effectExtent l="0" t="0" r="0" b="0"/>
                  <wp:docPr id="6121363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36349" name="Picture 61213634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448" cy="362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CEC" w:rsidRPr="00D0496F" w14:paraId="74A2C3A6" w14:textId="77777777" w:rsidTr="00EB3CEC">
        <w:tc>
          <w:tcPr>
            <w:tcW w:w="9246" w:type="dxa"/>
          </w:tcPr>
          <w:p w14:paraId="770ACE8C" w14:textId="11FDDFB5" w:rsidR="00EB3CEC" w:rsidRPr="00D0496F" w:rsidRDefault="00EB3CEC" w:rsidP="00EB3CEC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Supplementary </w:t>
            </w:r>
            <w:r w:rsidRPr="00D0496F">
              <w:rPr>
                <w:rFonts w:cs="Times New Roman"/>
                <w:b/>
                <w:bCs/>
              </w:rPr>
              <w:t>Figure 2. HIV DNA persists in the frontal cortex of people with HIV despite viral suppression</w:t>
            </w:r>
            <w:r w:rsidR="008D5732">
              <w:rPr>
                <w:rFonts w:cs="Times New Roman"/>
                <w:b/>
                <w:bCs/>
              </w:rPr>
              <w:t xml:space="preserve"> with ART</w:t>
            </w:r>
            <w:r w:rsidRPr="00D0496F">
              <w:rPr>
                <w:rFonts w:cs="Times New Roman"/>
                <w:b/>
                <w:bCs/>
              </w:rPr>
              <w:t xml:space="preserve">. </w:t>
            </w:r>
            <w:r w:rsidRPr="00200280">
              <w:rPr>
                <w:rFonts w:cs="Times New Roman"/>
                <w:b/>
                <w:bCs/>
              </w:rPr>
              <w:t>(A)</w:t>
            </w:r>
            <w:r w:rsidRPr="00D0496F">
              <w:rPr>
                <w:rFonts w:cs="Times New Roman"/>
              </w:rPr>
              <w:t xml:space="preserve"> Total HIV DNA copies in human frontal cortex tissue from non-virally suppressed (nVS; n = 17) or virally suppressed (VS; n = 18) people with HIV or HIV-seronegative individuals (HIV-; n = 6) as measured by droplet digital PCR. </w:t>
            </w:r>
            <w:r w:rsidRPr="00200280">
              <w:rPr>
                <w:rFonts w:cs="Times New Roman"/>
                <w:b/>
                <w:bCs/>
              </w:rPr>
              <w:t>(B)</w:t>
            </w:r>
            <w:r w:rsidRPr="00D0496F">
              <w:rPr>
                <w:rFonts w:cs="Times New Roman"/>
              </w:rPr>
              <w:t xml:space="preserve"> Copy number (standardi</w:t>
            </w:r>
            <w:r>
              <w:rPr>
                <w:rFonts w:cs="Times New Roman"/>
              </w:rPr>
              <w:t>z</w:t>
            </w:r>
            <w:r w:rsidRPr="00D0496F">
              <w:rPr>
                <w:rFonts w:cs="Times New Roman"/>
              </w:rPr>
              <w:t>ed to 10</w:t>
            </w:r>
            <w:r w:rsidRPr="00D0496F">
              <w:rPr>
                <w:rFonts w:cs="Times New Roman"/>
                <w:vertAlign w:val="superscript"/>
              </w:rPr>
              <w:t>6</w:t>
            </w:r>
            <w:r w:rsidRPr="00D0496F">
              <w:rPr>
                <w:rFonts w:cs="Times New Roman"/>
              </w:rPr>
              <w:t xml:space="preserve"> cells) of proviral genomes defined as intact (orange), 3′ defective (light blue) or 5′ defective (green) from frontal cortex tissue from nVS (n = 6) o</w:t>
            </w:r>
            <w:r w:rsidRPr="00006B69">
              <w:rPr>
                <w:rFonts w:cs="Times New Roman"/>
              </w:rPr>
              <w:t xml:space="preserve">r VS (n = 10) PWH, or HIV- individuals (n = 4) as measured by the IPDA. </w:t>
            </w:r>
            <w:r w:rsidR="0099438B" w:rsidRPr="00006B69">
              <w:rPr>
                <w:rFonts w:cs="Times New Roman"/>
                <w:szCs w:val="24"/>
              </w:rPr>
              <w:t xml:space="preserve"> Comparisons made using </w:t>
            </w:r>
            <w:r w:rsidR="0099438B" w:rsidRPr="00006B69">
              <w:t>Kruskal-Wallis test with Dunn’s post-hoc tests</w:t>
            </w:r>
            <w:r w:rsidR="0099438B" w:rsidRPr="00006B69">
              <w:rPr>
                <w:bCs/>
              </w:rPr>
              <w:t xml:space="preserve"> </w:t>
            </w:r>
            <w:r w:rsidR="0099438B" w:rsidRPr="00006B69">
              <w:rPr>
                <w:rFonts w:cs="Times New Roman"/>
                <w:szCs w:val="24"/>
              </w:rPr>
              <w:t>(*P&lt;0.05</w:t>
            </w:r>
            <w:r w:rsidR="0099438B" w:rsidRPr="00006B69">
              <w:rPr>
                <w:bCs/>
              </w:rPr>
              <w:t>; **P&lt;0.01; ***P&lt;0.001,***P&lt;0.0001</w:t>
            </w:r>
            <w:r w:rsidR="0099438B" w:rsidRPr="00006B69">
              <w:rPr>
                <w:rFonts w:cs="Times New Roman"/>
                <w:szCs w:val="24"/>
              </w:rPr>
              <w:t>).</w:t>
            </w:r>
          </w:p>
        </w:tc>
      </w:tr>
    </w:tbl>
    <w:p w14:paraId="1C671BC8" w14:textId="557B711C" w:rsidR="00EB3CEC" w:rsidRDefault="00EB3CEC" w:rsidP="00EB3CEC">
      <w:pPr>
        <w:spacing w:before="240"/>
        <w:jc w:val="both"/>
        <w:rPr>
          <w:bCs/>
        </w:rPr>
      </w:pPr>
    </w:p>
    <w:p w14:paraId="7BAF14A9" w14:textId="77777777" w:rsidR="00EB3CEC" w:rsidRDefault="00EB3CEC">
      <w:pPr>
        <w:spacing w:before="0" w:after="200" w:line="276" w:lineRule="auto"/>
        <w:rPr>
          <w:bCs/>
        </w:rPr>
      </w:pPr>
      <w:r>
        <w:rPr>
          <w:bCs/>
        </w:rPr>
        <w:br w:type="page"/>
      </w:r>
    </w:p>
    <w:tbl>
      <w:tblPr>
        <w:tblStyle w:val="TableGrid6"/>
        <w:tblpPr w:leftFromText="180" w:rightFromText="180" w:vertAnchor="text" w:horzAnchor="margin" w:tblpY="1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32"/>
        <w:gridCol w:w="1729"/>
        <w:gridCol w:w="1737"/>
      </w:tblGrid>
      <w:tr w:rsidR="00EB3CEC" w:rsidRPr="002521BF" w14:paraId="07568176" w14:textId="77777777" w:rsidTr="002F5DF0">
        <w:trPr>
          <w:trHeight w:val="183"/>
        </w:trPr>
        <w:tc>
          <w:tcPr>
            <w:tcW w:w="8654" w:type="dxa"/>
            <w:gridSpan w:val="5"/>
          </w:tcPr>
          <w:p w14:paraId="57AC4817" w14:textId="1EDF765F" w:rsidR="00EB3CEC" w:rsidRPr="004F3D8D" w:rsidRDefault="00EB3CEC" w:rsidP="00EB3CEC">
            <w:pPr>
              <w:spacing w:before="0" w:after="0"/>
              <w:rPr>
                <w:rFonts w:cs="Times New Roman"/>
                <w:b/>
                <w:bCs/>
              </w:rPr>
            </w:pPr>
            <w:r w:rsidRPr="004F3D8D">
              <w:rPr>
                <w:rFonts w:cs="Times New Roman"/>
                <w:b/>
                <w:bCs/>
              </w:rPr>
              <w:lastRenderedPageBreak/>
              <w:t>Supplementa</w:t>
            </w:r>
            <w:r>
              <w:rPr>
                <w:rFonts w:cs="Times New Roman"/>
                <w:b/>
                <w:bCs/>
              </w:rPr>
              <w:t>ry</w:t>
            </w:r>
            <w:r w:rsidRPr="004F3D8D">
              <w:rPr>
                <w:rFonts w:cs="Times New Roman"/>
                <w:b/>
                <w:bCs/>
              </w:rPr>
              <w:t xml:space="preserve"> Table 1</w:t>
            </w:r>
            <w:r>
              <w:rPr>
                <w:rFonts w:cs="Times New Roman"/>
                <w:b/>
                <w:bCs/>
              </w:rPr>
              <w:t>.</w:t>
            </w:r>
            <w:r w:rsidRPr="004F3D8D">
              <w:rPr>
                <w:rFonts w:cs="Times New Roman"/>
                <w:b/>
                <w:bCs/>
              </w:rPr>
              <w:t xml:space="preserve"> Association between age and immune phenotype in the frontal cortex of PWH</w:t>
            </w:r>
          </w:p>
        </w:tc>
      </w:tr>
      <w:tr w:rsidR="00EB3CEC" w:rsidRPr="002521BF" w14:paraId="6A9E0477" w14:textId="77777777" w:rsidTr="002F5DF0">
        <w:trPr>
          <w:trHeight w:val="20"/>
        </w:trPr>
        <w:tc>
          <w:tcPr>
            <w:tcW w:w="1728" w:type="dxa"/>
            <w:tcBorders>
              <w:top w:val="single" w:sz="4" w:space="0" w:color="auto"/>
            </w:tcBorders>
          </w:tcPr>
          <w:p w14:paraId="1CB13CF3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</w:p>
        </w:tc>
        <w:tc>
          <w:tcPr>
            <w:tcW w:w="692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67BE8C7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Age</w:t>
            </w:r>
          </w:p>
        </w:tc>
      </w:tr>
      <w:tr w:rsidR="00EB3CEC" w:rsidRPr="002521BF" w14:paraId="22B9B2E6" w14:textId="77777777" w:rsidTr="002F5DF0">
        <w:trPr>
          <w:trHeight w:val="20"/>
        </w:trPr>
        <w:tc>
          <w:tcPr>
            <w:tcW w:w="1728" w:type="dxa"/>
          </w:tcPr>
          <w:p w14:paraId="4B1E31D4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</w:p>
        </w:tc>
        <w:tc>
          <w:tcPr>
            <w:tcW w:w="3460" w:type="dxa"/>
            <w:gridSpan w:val="2"/>
            <w:tcBorders>
              <w:top w:val="single" w:sz="4" w:space="0" w:color="auto"/>
            </w:tcBorders>
          </w:tcPr>
          <w:p w14:paraId="606A81BB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  <w:u w:val="single"/>
              </w:rPr>
            </w:pPr>
            <w:r w:rsidRPr="002521BF">
              <w:rPr>
                <w:rFonts w:cs="Times New Roman"/>
                <w:u w:val="single"/>
              </w:rPr>
              <w:t>Non-virally suppressed</w:t>
            </w:r>
          </w:p>
        </w:tc>
        <w:tc>
          <w:tcPr>
            <w:tcW w:w="3466" w:type="dxa"/>
            <w:gridSpan w:val="2"/>
            <w:tcBorders>
              <w:top w:val="single" w:sz="4" w:space="0" w:color="auto"/>
            </w:tcBorders>
          </w:tcPr>
          <w:p w14:paraId="70FFDC77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  <w:u w:val="single"/>
              </w:rPr>
            </w:pPr>
            <w:r w:rsidRPr="002521BF">
              <w:rPr>
                <w:rFonts w:cs="Times New Roman"/>
                <w:u w:val="single"/>
              </w:rPr>
              <w:t>Virally suppressed</w:t>
            </w:r>
          </w:p>
        </w:tc>
      </w:tr>
      <w:tr w:rsidR="00EB3CEC" w:rsidRPr="002521BF" w14:paraId="7278C107" w14:textId="77777777" w:rsidTr="00EB3CEC">
        <w:trPr>
          <w:trHeight w:val="142"/>
        </w:trPr>
        <w:tc>
          <w:tcPr>
            <w:tcW w:w="1728" w:type="dxa"/>
            <w:tcBorders>
              <w:bottom w:val="single" w:sz="4" w:space="0" w:color="auto"/>
            </w:tcBorders>
          </w:tcPr>
          <w:p w14:paraId="4910EA29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28F4011C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Rho</w:t>
            </w:r>
          </w:p>
        </w:tc>
        <w:tc>
          <w:tcPr>
            <w:tcW w:w="1732" w:type="dxa"/>
            <w:tcBorders>
              <w:bottom w:val="single" w:sz="4" w:space="0" w:color="auto"/>
            </w:tcBorders>
          </w:tcPr>
          <w:p w14:paraId="33DB5D53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P value</w:t>
            </w:r>
          </w:p>
        </w:tc>
        <w:tc>
          <w:tcPr>
            <w:tcW w:w="1729" w:type="dxa"/>
            <w:tcBorders>
              <w:bottom w:val="single" w:sz="4" w:space="0" w:color="auto"/>
            </w:tcBorders>
          </w:tcPr>
          <w:p w14:paraId="0197FDF1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Rho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3EF5B049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P value</w:t>
            </w:r>
          </w:p>
        </w:tc>
      </w:tr>
      <w:tr w:rsidR="00EB3CEC" w:rsidRPr="002521BF" w14:paraId="2228C5AA" w14:textId="77777777" w:rsidTr="002F5DF0">
        <w:trPr>
          <w:trHeight w:val="20"/>
        </w:trPr>
        <w:tc>
          <w:tcPr>
            <w:tcW w:w="1728" w:type="dxa"/>
            <w:tcBorders>
              <w:top w:val="single" w:sz="4" w:space="0" w:color="auto"/>
            </w:tcBorders>
          </w:tcPr>
          <w:p w14:paraId="1D920D0D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  <w:r w:rsidRPr="002521BF">
              <w:rPr>
                <w:rFonts w:cs="Times New Roman"/>
              </w:rPr>
              <w:t>Mx1</w:t>
            </w:r>
          </w:p>
        </w:tc>
        <w:tc>
          <w:tcPr>
            <w:tcW w:w="1728" w:type="dxa"/>
            <w:tcBorders>
              <w:top w:val="single" w:sz="4" w:space="0" w:color="auto"/>
            </w:tcBorders>
          </w:tcPr>
          <w:p w14:paraId="070B6798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-0.201</w:t>
            </w:r>
          </w:p>
        </w:tc>
        <w:tc>
          <w:tcPr>
            <w:tcW w:w="1732" w:type="dxa"/>
            <w:tcBorders>
              <w:top w:val="single" w:sz="4" w:space="0" w:color="auto"/>
            </w:tcBorders>
          </w:tcPr>
          <w:p w14:paraId="5B91EAB7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0.436</w:t>
            </w:r>
          </w:p>
        </w:tc>
        <w:tc>
          <w:tcPr>
            <w:tcW w:w="1729" w:type="dxa"/>
            <w:tcBorders>
              <w:top w:val="single" w:sz="4" w:space="0" w:color="auto"/>
            </w:tcBorders>
          </w:tcPr>
          <w:p w14:paraId="07E646AD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0.111</w:t>
            </w:r>
          </w:p>
        </w:tc>
        <w:tc>
          <w:tcPr>
            <w:tcW w:w="1737" w:type="dxa"/>
            <w:tcBorders>
              <w:top w:val="single" w:sz="4" w:space="0" w:color="auto"/>
            </w:tcBorders>
          </w:tcPr>
          <w:p w14:paraId="2832064F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0.662</w:t>
            </w:r>
          </w:p>
        </w:tc>
      </w:tr>
      <w:tr w:rsidR="00EB3CEC" w:rsidRPr="002521BF" w14:paraId="2D69B072" w14:textId="77777777" w:rsidTr="002F5DF0">
        <w:trPr>
          <w:trHeight w:val="20"/>
        </w:trPr>
        <w:tc>
          <w:tcPr>
            <w:tcW w:w="1728" w:type="dxa"/>
          </w:tcPr>
          <w:p w14:paraId="1133D0BE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  <w:r w:rsidRPr="002521BF">
              <w:rPr>
                <w:rFonts w:cs="Times New Roman"/>
              </w:rPr>
              <w:t>TNFα</w:t>
            </w:r>
          </w:p>
        </w:tc>
        <w:tc>
          <w:tcPr>
            <w:tcW w:w="1728" w:type="dxa"/>
          </w:tcPr>
          <w:p w14:paraId="0BDBD587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0.371</w:t>
            </w:r>
          </w:p>
        </w:tc>
        <w:tc>
          <w:tcPr>
            <w:tcW w:w="1732" w:type="dxa"/>
          </w:tcPr>
          <w:p w14:paraId="0B9B60FB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0.143</w:t>
            </w:r>
          </w:p>
        </w:tc>
        <w:tc>
          <w:tcPr>
            <w:tcW w:w="1729" w:type="dxa"/>
          </w:tcPr>
          <w:p w14:paraId="62E434DA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0.332</w:t>
            </w:r>
          </w:p>
        </w:tc>
        <w:tc>
          <w:tcPr>
            <w:tcW w:w="1737" w:type="dxa"/>
          </w:tcPr>
          <w:p w14:paraId="67CC8DD2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0.178</w:t>
            </w:r>
          </w:p>
        </w:tc>
      </w:tr>
      <w:tr w:rsidR="00EB3CEC" w:rsidRPr="002521BF" w14:paraId="5EAF3B63" w14:textId="77777777" w:rsidTr="002F5DF0">
        <w:trPr>
          <w:trHeight w:val="20"/>
        </w:trPr>
        <w:tc>
          <w:tcPr>
            <w:tcW w:w="1728" w:type="dxa"/>
          </w:tcPr>
          <w:p w14:paraId="4AA2C241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  <w:r w:rsidRPr="002521BF">
              <w:rPr>
                <w:rFonts w:cs="Times New Roman"/>
              </w:rPr>
              <w:t>TGF</w:t>
            </w:r>
            <w:r>
              <w:rPr>
                <w:rFonts w:cs="Times New Roman"/>
              </w:rPr>
              <w:t>-</w:t>
            </w:r>
            <w:r w:rsidRPr="002521BF">
              <w:rPr>
                <w:rFonts w:cs="Times New Roman"/>
              </w:rPr>
              <w:t>β1</w:t>
            </w:r>
          </w:p>
        </w:tc>
        <w:tc>
          <w:tcPr>
            <w:tcW w:w="1728" w:type="dxa"/>
          </w:tcPr>
          <w:p w14:paraId="61032455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-0.021</w:t>
            </w:r>
          </w:p>
        </w:tc>
        <w:tc>
          <w:tcPr>
            <w:tcW w:w="1732" w:type="dxa"/>
          </w:tcPr>
          <w:p w14:paraId="5095C039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0.938</w:t>
            </w:r>
          </w:p>
        </w:tc>
        <w:tc>
          <w:tcPr>
            <w:tcW w:w="1729" w:type="dxa"/>
          </w:tcPr>
          <w:p w14:paraId="1BFC2167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0.092</w:t>
            </w:r>
          </w:p>
        </w:tc>
        <w:tc>
          <w:tcPr>
            <w:tcW w:w="1737" w:type="dxa"/>
          </w:tcPr>
          <w:p w14:paraId="329A25F7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0.716</w:t>
            </w:r>
          </w:p>
        </w:tc>
      </w:tr>
      <w:tr w:rsidR="00EB3CEC" w:rsidRPr="002521BF" w14:paraId="6FE50CD5" w14:textId="77777777" w:rsidTr="002F5DF0">
        <w:trPr>
          <w:trHeight w:val="20"/>
        </w:trPr>
        <w:tc>
          <w:tcPr>
            <w:tcW w:w="1728" w:type="dxa"/>
          </w:tcPr>
          <w:p w14:paraId="038629D3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  <w:r w:rsidRPr="002521BF">
              <w:rPr>
                <w:rFonts w:cs="Times New Roman"/>
              </w:rPr>
              <w:t>CD68</w:t>
            </w:r>
          </w:p>
        </w:tc>
        <w:tc>
          <w:tcPr>
            <w:tcW w:w="1728" w:type="dxa"/>
          </w:tcPr>
          <w:p w14:paraId="4CFF237F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-0.097</w:t>
            </w:r>
          </w:p>
        </w:tc>
        <w:tc>
          <w:tcPr>
            <w:tcW w:w="1732" w:type="dxa"/>
          </w:tcPr>
          <w:p w14:paraId="7301A08A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0.710</w:t>
            </w:r>
          </w:p>
        </w:tc>
        <w:tc>
          <w:tcPr>
            <w:tcW w:w="1729" w:type="dxa"/>
          </w:tcPr>
          <w:p w14:paraId="2078D36F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0.147</w:t>
            </w:r>
          </w:p>
        </w:tc>
        <w:tc>
          <w:tcPr>
            <w:tcW w:w="1737" w:type="dxa"/>
          </w:tcPr>
          <w:p w14:paraId="56540232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0.560</w:t>
            </w:r>
          </w:p>
        </w:tc>
      </w:tr>
      <w:tr w:rsidR="00EB3CEC" w:rsidRPr="002521BF" w14:paraId="386386ED" w14:textId="77777777" w:rsidTr="002F5DF0">
        <w:trPr>
          <w:trHeight w:val="20"/>
        </w:trPr>
        <w:tc>
          <w:tcPr>
            <w:tcW w:w="1728" w:type="dxa"/>
            <w:tcBorders>
              <w:bottom w:val="single" w:sz="4" w:space="0" w:color="auto"/>
            </w:tcBorders>
          </w:tcPr>
          <w:p w14:paraId="412A2AF5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  <w:r w:rsidRPr="002521BF">
              <w:rPr>
                <w:rFonts w:cs="Times New Roman"/>
              </w:rPr>
              <w:t>GFAP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09BEE248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-0.130</w:t>
            </w:r>
          </w:p>
        </w:tc>
        <w:tc>
          <w:tcPr>
            <w:tcW w:w="1732" w:type="dxa"/>
            <w:tcBorders>
              <w:bottom w:val="single" w:sz="4" w:space="0" w:color="auto"/>
            </w:tcBorders>
          </w:tcPr>
          <w:p w14:paraId="7AFB9F7F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0.617</w:t>
            </w:r>
          </w:p>
        </w:tc>
        <w:tc>
          <w:tcPr>
            <w:tcW w:w="1729" w:type="dxa"/>
            <w:tcBorders>
              <w:bottom w:val="single" w:sz="4" w:space="0" w:color="auto"/>
            </w:tcBorders>
          </w:tcPr>
          <w:p w14:paraId="2222C5F2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0.276</w:t>
            </w:r>
          </w:p>
        </w:tc>
        <w:tc>
          <w:tcPr>
            <w:tcW w:w="1737" w:type="dxa"/>
            <w:tcBorders>
              <w:bottom w:val="single" w:sz="4" w:space="0" w:color="auto"/>
            </w:tcBorders>
          </w:tcPr>
          <w:p w14:paraId="2B10A3AA" w14:textId="77777777" w:rsidR="00EB3CEC" w:rsidRPr="002521BF" w:rsidRDefault="00EB3CEC" w:rsidP="00EB3CEC">
            <w:pPr>
              <w:spacing w:before="0" w:after="0"/>
              <w:jc w:val="center"/>
              <w:rPr>
                <w:rFonts w:cs="Times New Roman"/>
              </w:rPr>
            </w:pPr>
            <w:r w:rsidRPr="002521BF">
              <w:rPr>
                <w:rFonts w:cs="Times New Roman"/>
              </w:rPr>
              <w:t>0.268</w:t>
            </w:r>
          </w:p>
        </w:tc>
      </w:tr>
      <w:tr w:rsidR="00EB3CEC" w:rsidRPr="002521BF" w14:paraId="6932CB86" w14:textId="77777777" w:rsidTr="002F5DF0">
        <w:trPr>
          <w:trHeight w:val="320"/>
        </w:trPr>
        <w:tc>
          <w:tcPr>
            <w:tcW w:w="8654" w:type="dxa"/>
            <w:gridSpan w:val="5"/>
            <w:tcBorders>
              <w:top w:val="single" w:sz="4" w:space="0" w:color="auto"/>
            </w:tcBorders>
          </w:tcPr>
          <w:p w14:paraId="5D3C0797" w14:textId="77777777" w:rsidR="00EB3CEC" w:rsidRPr="00D76C50" w:rsidRDefault="00EB3CEC" w:rsidP="00EB3CEC">
            <w:pPr>
              <w:spacing w:before="0" w:after="0"/>
              <w:rPr>
                <w:rFonts w:cs="Times New Roman"/>
                <w:sz w:val="18"/>
                <w:szCs w:val="18"/>
              </w:rPr>
            </w:pPr>
            <w:r w:rsidRPr="00D76C50">
              <w:rPr>
                <w:rFonts w:cs="Times New Roman"/>
                <w:sz w:val="18"/>
                <w:szCs w:val="18"/>
              </w:rPr>
              <w:t>GFAP: glial fibrillary acidic protein, Mx1: MX dynamin like GTPase, TGF-β1: transforming growth factor beta, TNFα: tumour necrosis factor alpha</w:t>
            </w:r>
          </w:p>
          <w:p w14:paraId="62FC0F5C" w14:textId="77777777" w:rsidR="00EB3CEC" w:rsidRPr="00D76C50" w:rsidRDefault="00EB3CEC" w:rsidP="00EB3CEC">
            <w:pPr>
              <w:spacing w:before="0" w:after="0"/>
              <w:rPr>
                <w:rFonts w:cs="Times New Roman"/>
                <w:sz w:val="18"/>
                <w:szCs w:val="18"/>
              </w:rPr>
            </w:pPr>
            <w:r w:rsidRPr="00D76C50">
              <w:rPr>
                <w:rFonts w:cs="Times New Roman"/>
                <w:sz w:val="18"/>
                <w:szCs w:val="18"/>
              </w:rPr>
              <w:t>P value and rho determined by non-parametric Spearman correlation (P&lt;0.05 statistically significant)</w:t>
            </w:r>
          </w:p>
          <w:p w14:paraId="7AE61EA6" w14:textId="77777777" w:rsidR="00EB3CEC" w:rsidRPr="002521BF" w:rsidRDefault="00EB3CEC" w:rsidP="00EB3CEC">
            <w:pPr>
              <w:spacing w:before="0" w:after="0"/>
              <w:rPr>
                <w:rFonts w:cs="Times New Roman"/>
              </w:rPr>
            </w:pPr>
          </w:p>
        </w:tc>
      </w:tr>
    </w:tbl>
    <w:p w14:paraId="386D55A5" w14:textId="1E922970" w:rsidR="003E14C0" w:rsidRDefault="003E14C0" w:rsidP="00EB3CEC">
      <w:pPr>
        <w:spacing w:before="240"/>
        <w:jc w:val="both"/>
        <w:rPr>
          <w:bCs/>
        </w:rPr>
      </w:pPr>
    </w:p>
    <w:p w14:paraId="61E162A4" w14:textId="2190EFB3" w:rsidR="00EB3CEC" w:rsidRPr="00EB3CEC" w:rsidRDefault="00EB3CEC" w:rsidP="00156521">
      <w:pPr>
        <w:spacing w:before="0" w:after="200" w:line="276" w:lineRule="auto"/>
        <w:rPr>
          <w:bCs/>
        </w:rPr>
      </w:pPr>
    </w:p>
    <w:sectPr w:rsidR="00EB3CEC" w:rsidRPr="00EB3CEC" w:rsidSect="0093429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B1774" w14:textId="77777777" w:rsidR="00AC5EF5" w:rsidRDefault="00AC5EF5" w:rsidP="00117666">
      <w:pPr>
        <w:spacing w:after="0"/>
      </w:pPr>
      <w:r>
        <w:separator/>
      </w:r>
    </w:p>
  </w:endnote>
  <w:endnote w:type="continuationSeparator" w:id="0">
    <w:p w14:paraId="7484314E" w14:textId="77777777" w:rsidR="00AC5EF5" w:rsidRDefault="00AC5EF5" w:rsidP="00117666">
      <w:pPr>
        <w:spacing w:after="0"/>
      </w:pPr>
      <w:r>
        <w:continuationSeparator/>
      </w:r>
    </w:p>
  </w:endnote>
  <w:endnote w:type="continuationNotice" w:id="1">
    <w:p w14:paraId="40D1E1A3" w14:textId="77777777" w:rsidR="00AC5EF5" w:rsidRDefault="00AC5EF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AB28" w14:textId="77777777" w:rsidR="00425102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425102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425102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F27" w14:textId="77777777" w:rsidR="00425102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425102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425102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313C" w14:textId="77777777" w:rsidR="00AC5EF5" w:rsidRDefault="00AC5EF5" w:rsidP="00117666">
      <w:pPr>
        <w:spacing w:after="0"/>
      </w:pPr>
      <w:r>
        <w:separator/>
      </w:r>
    </w:p>
  </w:footnote>
  <w:footnote w:type="continuationSeparator" w:id="0">
    <w:p w14:paraId="550E120E" w14:textId="77777777" w:rsidR="00AC5EF5" w:rsidRDefault="00AC5EF5" w:rsidP="00117666">
      <w:pPr>
        <w:spacing w:after="0"/>
      </w:pPr>
      <w:r>
        <w:continuationSeparator/>
      </w:r>
    </w:p>
  </w:footnote>
  <w:footnote w:type="continuationNotice" w:id="1">
    <w:p w14:paraId="402B49EB" w14:textId="77777777" w:rsidR="00AC5EF5" w:rsidRDefault="00AC5EF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EDBA" w14:textId="15A763C0" w:rsidR="00425102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E314" w14:textId="51A3D822" w:rsidR="003E14C0" w:rsidRDefault="003E14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1A5B" w14:textId="11B7C240" w:rsidR="00425102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06B69"/>
    <w:rsid w:val="0001436A"/>
    <w:rsid w:val="00034304"/>
    <w:rsid w:val="00035434"/>
    <w:rsid w:val="00041F3C"/>
    <w:rsid w:val="00052A14"/>
    <w:rsid w:val="00077D53"/>
    <w:rsid w:val="000B0169"/>
    <w:rsid w:val="000C18B9"/>
    <w:rsid w:val="00105FD9"/>
    <w:rsid w:val="00117666"/>
    <w:rsid w:val="001549D3"/>
    <w:rsid w:val="00156521"/>
    <w:rsid w:val="00160065"/>
    <w:rsid w:val="00162983"/>
    <w:rsid w:val="00177D84"/>
    <w:rsid w:val="001D30D0"/>
    <w:rsid w:val="00267D18"/>
    <w:rsid w:val="002868E2"/>
    <w:rsid w:val="002869C3"/>
    <w:rsid w:val="002936E4"/>
    <w:rsid w:val="002B4A57"/>
    <w:rsid w:val="002C74CA"/>
    <w:rsid w:val="002F5DF0"/>
    <w:rsid w:val="002F65E6"/>
    <w:rsid w:val="003544FB"/>
    <w:rsid w:val="003678D9"/>
    <w:rsid w:val="003B23E4"/>
    <w:rsid w:val="003D2F2D"/>
    <w:rsid w:val="003E14C0"/>
    <w:rsid w:val="00401590"/>
    <w:rsid w:val="00425102"/>
    <w:rsid w:val="00433206"/>
    <w:rsid w:val="00447801"/>
    <w:rsid w:val="00452E9C"/>
    <w:rsid w:val="004735C8"/>
    <w:rsid w:val="0048381A"/>
    <w:rsid w:val="004961FF"/>
    <w:rsid w:val="004C74D2"/>
    <w:rsid w:val="004D3232"/>
    <w:rsid w:val="00517A89"/>
    <w:rsid w:val="005250F2"/>
    <w:rsid w:val="00553754"/>
    <w:rsid w:val="005721CC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919EC"/>
    <w:rsid w:val="007B514D"/>
    <w:rsid w:val="007B6070"/>
    <w:rsid w:val="007C206C"/>
    <w:rsid w:val="007F11AF"/>
    <w:rsid w:val="00803D24"/>
    <w:rsid w:val="00817DD6"/>
    <w:rsid w:val="008438B4"/>
    <w:rsid w:val="00885156"/>
    <w:rsid w:val="008D5732"/>
    <w:rsid w:val="009151AA"/>
    <w:rsid w:val="0093429D"/>
    <w:rsid w:val="00943573"/>
    <w:rsid w:val="00970F7D"/>
    <w:rsid w:val="009804BB"/>
    <w:rsid w:val="0099438B"/>
    <w:rsid w:val="00994A3D"/>
    <w:rsid w:val="009C2B12"/>
    <w:rsid w:val="009C653C"/>
    <w:rsid w:val="009C70F3"/>
    <w:rsid w:val="009D106C"/>
    <w:rsid w:val="009D2003"/>
    <w:rsid w:val="00A174D9"/>
    <w:rsid w:val="00A569CD"/>
    <w:rsid w:val="00AB6715"/>
    <w:rsid w:val="00AB6954"/>
    <w:rsid w:val="00AC5EF5"/>
    <w:rsid w:val="00AF7578"/>
    <w:rsid w:val="00B1671E"/>
    <w:rsid w:val="00B25EB8"/>
    <w:rsid w:val="00B354E1"/>
    <w:rsid w:val="00B37F4D"/>
    <w:rsid w:val="00BD2F68"/>
    <w:rsid w:val="00BD69F7"/>
    <w:rsid w:val="00C014F2"/>
    <w:rsid w:val="00C52A7B"/>
    <w:rsid w:val="00C56BAF"/>
    <w:rsid w:val="00C679AA"/>
    <w:rsid w:val="00C75972"/>
    <w:rsid w:val="00C9306B"/>
    <w:rsid w:val="00C934BD"/>
    <w:rsid w:val="00CC0A3A"/>
    <w:rsid w:val="00CD066B"/>
    <w:rsid w:val="00CE4FEE"/>
    <w:rsid w:val="00D35ACE"/>
    <w:rsid w:val="00D639B6"/>
    <w:rsid w:val="00D715BE"/>
    <w:rsid w:val="00D92E8F"/>
    <w:rsid w:val="00DB59C3"/>
    <w:rsid w:val="00DC259A"/>
    <w:rsid w:val="00DD7630"/>
    <w:rsid w:val="00DE23E8"/>
    <w:rsid w:val="00E13543"/>
    <w:rsid w:val="00E365BB"/>
    <w:rsid w:val="00E52377"/>
    <w:rsid w:val="00E64E17"/>
    <w:rsid w:val="00E74BE1"/>
    <w:rsid w:val="00E866C9"/>
    <w:rsid w:val="00E96B19"/>
    <w:rsid w:val="00EA3D3C"/>
    <w:rsid w:val="00EB3CEC"/>
    <w:rsid w:val="00EE046B"/>
    <w:rsid w:val="00F46900"/>
    <w:rsid w:val="00F61D89"/>
    <w:rsid w:val="00F9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024BB4AB-48A0-48B1-A2B4-1D7BA324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table" w:customStyle="1" w:styleId="TableGrid6">
    <w:name w:val="Table Grid6"/>
    <w:basedOn w:val="TableNormal"/>
    <w:next w:val="TableGrid"/>
    <w:uiPriority w:val="39"/>
    <w:rsid w:val="00EB3CEC"/>
    <w:pPr>
      <w:spacing w:after="0" w:line="240" w:lineRule="auto"/>
    </w:pPr>
    <w:rPr>
      <w:kern w:val="2"/>
      <w:lang w:val="en-A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tiff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tif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3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52b3a1-dbcb-41fb-a452-370cf542753f}" enabled="1" method="Privilege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</Template>
  <TotalTime>2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Frontiers</dc:creator>
  <cp:keywords/>
  <cp:lastModifiedBy>Megan Bond</cp:lastModifiedBy>
  <cp:revision>5</cp:revision>
  <cp:lastPrinted>2013-10-02T19:51:00Z</cp:lastPrinted>
  <dcterms:created xsi:type="dcterms:W3CDTF">2025-04-17T12:29:00Z</dcterms:created>
  <dcterms:modified xsi:type="dcterms:W3CDTF">2025-05-01T12:55:00Z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MSIP_Label_ddaa77bc-0157-46a4-82a6-8fc765694bc9_Enabled">
    <vt:lpwstr>true</vt:lpwstr>
  </property>
  <property fmtid="{D5CDD505-2E9C-101B-9397-08002B2CF9AE}" pid="11" name="MSIP_Label_ddaa77bc-0157-46a4-82a6-8fc765694bc9_SetDate">
    <vt:lpwstr>2025-04-17T05:13:16Z</vt:lpwstr>
  </property>
  <property fmtid="{D5CDD505-2E9C-101B-9397-08002B2CF9AE}" pid="12" name="MSIP_Label_ddaa77bc-0157-46a4-82a6-8fc765694bc9_Method">
    <vt:lpwstr>Standard</vt:lpwstr>
  </property>
  <property fmtid="{D5CDD505-2E9C-101B-9397-08002B2CF9AE}" pid="13" name="MSIP_Label_ddaa77bc-0157-46a4-82a6-8fc765694bc9_Name">
    <vt:lpwstr>Trusted Label</vt:lpwstr>
  </property>
  <property fmtid="{D5CDD505-2E9C-101B-9397-08002B2CF9AE}" pid="14" name="MSIP_Label_ddaa77bc-0157-46a4-82a6-8fc765694bc9_SiteId">
    <vt:lpwstr>d1323671-cdbe-4417-b4d4-bdb24b51316b</vt:lpwstr>
  </property>
  <property fmtid="{D5CDD505-2E9C-101B-9397-08002B2CF9AE}" pid="15" name="MSIP_Label_ddaa77bc-0157-46a4-82a6-8fc765694bc9_ActionId">
    <vt:lpwstr>e5c5ebcf-e1f0-4f8d-82b1-12b278e89406</vt:lpwstr>
  </property>
  <property fmtid="{D5CDD505-2E9C-101B-9397-08002B2CF9AE}" pid="16" name="MSIP_Label_ddaa77bc-0157-46a4-82a6-8fc765694bc9_ContentBits">
    <vt:lpwstr>0</vt:lpwstr>
  </property>
  <property fmtid="{D5CDD505-2E9C-101B-9397-08002B2CF9AE}" pid="17" name="MSIP_Label_ddaa77bc-0157-46a4-82a6-8fc765694bc9_Tag">
    <vt:lpwstr>10, 3, 0, 1</vt:lpwstr>
  </property>
</Properties>
</file>