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5F"/>
          <w:sz w:val="28"/>
          <w:szCs w:val="28"/>
        </w:rPr>
        <w:t xml:space="preserve">BRIDGES-Avatar — Scoping Review</w:t>
      </w:r>
    </w:p>
    <w:p>
      <w:pPr>
        <w:spacing w:after="80"/>
      </w:pPr>
      <w:r>
        <w:rPr>
          <w:rFonts w:ascii="Arial" w:cs="Arial" w:eastAsia="Arial" w:hAnsi="Arial"/>
          <w:b/>
          <w:bCs/>
          <w:color w:val="1F4E5F"/>
          <w:sz w:val="32"/>
          <w:szCs w:val="32"/>
        </w:rPr>
        <w:t xml:space="preserve">Estimation de charge et faisabilité des étapes restantes</w:t>
      </w:r>
    </w:p>
    <w:p>
      <w:pPr>
        <w:spacing w:after="240"/>
      </w:pPr>
      <w:r>
        <w:rPr>
          <w:rFonts w:ascii="Arial" w:cs="Arial" w:eastAsia="Arial" w:hAnsi="Arial"/>
          <w:b w:val="false"/>
          <w:bCs w:val="false"/>
          <w:i/>
          <w:iCs/>
          <w:sz w:val="22"/>
          <w:szCs w:val="22"/>
        </w:rPr>
        <w:t xml:space="preserve">Note d'analyse, juin 2026. Document de travail destiné à la discussion en réunion d'équipe.</w:t>
      </w:r>
    </w:p>
    <w:p>
      <w:pPr>
        <w:pStyle w:val="Heading1"/>
      </w:pPr>
      <w:r>
        <w:t xml:space="preserve">1. Objet et avertissement méthodologique</w:t>
      </w:r>
    </w:p>
    <w:p>
      <w:pPr>
        <w:spacing w:after="140"/>
      </w:pPr>
      <w:r>
        <w:rPr>
          <w:rFonts w:ascii="Arial" w:cs="Arial" w:eastAsia="Arial" w:hAnsi="Arial"/>
          <w:b w:val="false"/>
          <w:bCs w:val="false"/>
          <w:i w:val="false"/>
          <w:iCs w:val="false"/>
          <w:sz w:val="22"/>
          <w:szCs w:val="22"/>
        </w:rPr>
        <w:t xml:space="preserve">Cette note estime la charge de travail des étapes restantes de la Scoping Review du programme BRIDGES-Avatar, phase par phase. Elle accompagne le fichier de calcul joint (« BRIDGES_estimation_charge.xlsx »), dont toutes les hypothèses sont modifiables et où les totaux se recalculent automatiquement. Les durées sont exprimées en semaines-personne.</w:t>
      </w:r>
    </w:p>
    <w:p>
      <w:pPr>
        <w:spacing w:after="140"/>
      </w:pPr>
      <w:r>
        <w:rPr>
          <w:rFonts w:ascii="Arial" w:cs="Arial" w:eastAsia="Arial" w:hAnsi="Arial"/>
          <w:b/>
          <w:bCs/>
          <w:sz w:val="22"/>
          <w:szCs w:val="22"/>
        </w:rPr>
        <w:t xml:space="preserve">Point essentiel : toutes les estimations supposent une seule personne travaillant à temps plein. </w:t>
      </w:r>
      <w:r>
        <w:rPr>
          <w:rFonts w:ascii="Arial" w:cs="Arial" w:eastAsia="Arial" w:hAnsi="Arial"/>
          <w:sz w:val="22"/>
          <w:szCs w:val="22"/>
        </w:rPr>
        <w:t xml:space="preserve">Avec plusieurs évaluateurs, certaines tâches pourraient être réparties, mais d'autres (rédaction, harmonisation) se parallélisent mal, et un screening méthodologiquement rigoureux exige de toute façon au moins deux évaluateurs indépendants, ce qui augmente la charge totale plutôt que de la diviser simplement.</w:t>
      </w:r>
    </w:p>
    <w:p>
      <w:pPr>
        <w:spacing w:after="140"/>
      </w:pPr>
      <w:r>
        <w:rPr>
          <w:rFonts w:ascii="Arial" w:cs="Arial" w:eastAsia="Arial" w:hAnsi="Arial"/>
          <w:b w:val="false"/>
          <w:bCs w:val="false"/>
          <w:i w:val="false"/>
          <w:iCs w:val="false"/>
          <w:sz w:val="22"/>
          <w:szCs w:val="22"/>
        </w:rPr>
        <w:t xml:space="preserve">Les estimations de screening ne reposent pas sur un débit théorique calculé en minutes, mais sur le débit réellement soutenable observé pendant le projet : un maximum d'environ 350 abstracts par semaine. Ce chiffre intègre la réalité humaine du travail de screening, qui est cognitivement exigeant et fatigant. On suppose en effet qu'il n'est pas réaliste de lire et juger des abstracts pendant huit heures d'affilée sans perte d'attention et de fiabilité. Le débit observé tient donc compte des limites de concentration et de la fatigue d'un individu, et constitue une base bien plus réaliste qu'un calcul théorique qui supposerait un rythme constant de machine.</w:t>
      </w:r>
    </w:p>
    <w:p>
      <w:pPr>
        <w:pStyle w:val="Heading1"/>
      </w:pPr>
      <w:r>
        <w:t xml:space="preserve">2. Méthode d'estimation</w:t>
      </w:r>
    </w:p>
    <w:p>
      <w:pPr>
        <w:spacing w:after="140"/>
      </w:pPr>
      <w:r>
        <w:rPr>
          <w:rFonts w:ascii="Arial" w:cs="Arial" w:eastAsia="Arial" w:hAnsi="Arial"/>
          <w:b w:val="false"/>
          <w:bCs w:val="false"/>
          <w:i w:val="false"/>
          <w:iCs w:val="false"/>
          <w:sz w:val="22"/>
          <w:szCs w:val="22"/>
        </w:rPr>
        <w:t xml:space="preserve">Chaque étape est chiffrée à partir d'un volume (nombre d'articles ou de documents) et d'une cadence ou d'un temps unitaire. La plupart des paramètres sont mesurés plutôt qu'estimés : le débit de screening (350/semaine, observé) ; les volumes de snowballing (mesurés via citationchaser sur la base Lens.org, à partir des 816 articles inclus) ; le taux de champs à corriger lors de la validation (mesuré sur les 207 fiches déjà extraites, voir plus bas). Seuls quelques paramètres restent des estimations assumées (forfaits de rédaction, taux d'inclusion de la seconde vague, volume de littérature grise, nombre de fiches modèles), tous clairement signalés et ajustables dans le fichier.</w:t>
      </w:r>
    </w:p>
    <w:p>
      <w:pPr>
        <w:pStyle w:val="Heading1"/>
      </w:pPr>
      <w:r>
        <w:t xml:space="preserve">3. Phase 02 — Screening</w:t>
      </w:r>
    </w:p>
    <w:p>
      <w:pPr>
        <w:pStyle w:val="Heading2"/>
      </w:pPr>
      <w:r>
        <w:t xml:space="preserve">Screening des abstracts restants</w:t>
      </w:r>
    </w:p>
    <w:p>
      <w:pPr>
        <w:spacing w:after="140"/>
      </w:pPr>
      <w:r>
        <w:rPr>
          <w:rFonts w:ascii="Arial" w:cs="Arial" w:eastAsia="Arial" w:hAnsi="Arial"/>
          <w:b w:val="false"/>
          <w:bCs w:val="false"/>
          <w:i w:val="false"/>
          <w:iCs w:val="false"/>
          <w:sz w:val="22"/>
          <w:szCs w:val="22"/>
        </w:rPr>
        <w:t xml:space="preserve">Le corpus Web of Science compte encore environ 2 011 abstracts non examinés (statut « non-vus » dans ASReview). Au débit soutenable de 350 abstracts par semaine, leur examen représente environ 5,7 semaines. L'outil ASReview, fondé sur l'apprentissage actif, trie les articles par pertinence décroissante : les premiers examinés étaient les plus pertinents, ce qui implique que le taux d'inclusion sur les abstracts restants sera mécaniquement plus faible que celui observé sur les abstracts déjà traités.</w:t>
      </w:r>
    </w:p>
    <w:p>
      <w:pPr>
        <w:pStyle w:val="Heading2"/>
      </w:pPr>
      <w:r>
        <w:t xml:space="preserve">Téléchargement des PDF</w:t>
      </w:r>
    </w:p>
    <w:p>
      <w:pPr>
        <w:spacing w:after="140"/>
      </w:pPr>
      <w:r>
        <w:rPr>
          <w:rFonts w:ascii="Arial" w:cs="Arial" w:eastAsia="Arial" w:hAnsi="Arial"/>
          <w:b w:val="false"/>
          <w:bCs w:val="false"/>
          <w:i w:val="false"/>
          <w:iCs w:val="false"/>
          <w:sz w:val="22"/>
          <w:szCs w:val="22"/>
        </w:rPr>
        <w:t xml:space="preserve">Sur les articles déjà jugés pertinents, environ 329 sont en accès libre mais restent à récupérer. Ce téléchargement est manuel : il faut localiser chaque version, la télécharger et la renommer selon la convention du projet, soit environ 3 minutes par article, ce qui représente près d'une demi-semaine de travail effectif. Environ 277 articles sont sous abonnement et doivent être demandés à la bibliothèque ; le travail propre (préparation de la liste et suivi) est estimé à une demi-journée forfaitaire, le délai de réception étant externe et n'entrant pas dans le décompte.</w:t>
      </w:r>
    </w:p>
    <w:p>
      <w:pPr>
        <w:pStyle w:val="Heading2"/>
      </w:pPr>
      <w:r>
        <w:t xml:space="preserve">Snowballing (backward et forward)</w:t>
      </w:r>
    </w:p>
    <w:p>
      <w:pPr>
        <w:spacing w:after="140"/>
      </w:pPr>
      <w:r>
        <w:rPr>
          <w:rFonts w:ascii="Arial" w:cs="Arial" w:eastAsia="Arial" w:hAnsi="Arial"/>
          <w:b w:val="false"/>
          <w:bCs w:val="false"/>
          <w:i w:val="false"/>
          <w:iCs w:val="false"/>
          <w:sz w:val="22"/>
          <w:szCs w:val="22"/>
        </w:rPr>
        <w:t xml:space="preserve">Le snowballing, prévu pour une revue exhaustive, a été testé concrètement via citationchaser sur les 816 articles inclus. Les volumes sont mesurés, non estimés : 9 642 articles citants uniques (forward) et 46 644 références uniques (backward), soit environ 56 286 références au total avant déduplication entre les listes. Au débit de screening soutenable, le seul forward représenterait environ 27 semaines, et le backward environ 133 semaines.</w:t>
      </w:r>
    </w:p>
    <w:p>
      <w:pPr>
        <w:spacing w:after="140"/>
      </w:pPr>
      <w:r>
        <w:rPr>
          <w:rFonts w:ascii="Arial" w:cs="Arial" w:eastAsia="Arial" w:hAnsi="Arial"/>
          <w:b w:val="false"/>
          <w:bCs w:val="false"/>
          <w:i w:val="false"/>
          <w:iCs w:val="false"/>
          <w:sz w:val="22"/>
          <w:szCs w:val="22"/>
        </w:rPr>
        <w:t xml:space="preserve">Ces chiffres sont des volumes bruts : ils n'ont pas encore été triés. Une liste de références issues du snowballing contient en effet de nombreux doublons (entre les deux listes et au sein de chacune) ainsi que des articles déjà présents dans le corpus, qu'il faut retirer ; s'y ajoutent des filtres usuels (année, langue, type de document). Le tri correspondant n'a pas encore été réalisé (il serait fait sous R à partir des exports de citationchaser) : le volume net réel sera donc nettement inférieur aux chiffres bruts ci-dessus, et reste à établir.</w:t>
      </w:r>
    </w:p>
    <w:p>
      <w:pPr>
        <w:spacing w:after="140"/>
      </w:pPr>
      <w:r>
        <w:rPr>
          <w:rFonts w:ascii="Arial" w:cs="Arial" w:eastAsia="Arial" w:hAnsi="Arial"/>
          <w:b w:val="false"/>
          <w:bCs w:val="false"/>
          <w:i w:val="false"/>
          <w:iCs w:val="false"/>
          <w:sz w:val="22"/>
          <w:szCs w:val="22"/>
        </w:rPr>
        <w:t xml:space="preserve">À titre purement indicatif, une estimation « nette » est mentionnée dans le fichier joint (de l'ordre de 22 500 références après réduction supposée), mais il s'agit d'un simple ordre de grandeur, à ne pas présenter comme définitif tant que le tri n'a pas été effectué. Par ailleurs, aucune revue n'examine manuellement des dizaines de milliers de références : les revues de grande ampleur recourent à l'apprentissage actif avec critère d'arrêt et mobilisent plusieurs évaluateurs, potentiellement sur un ou deux ans. Aucune de ces conditions n'est réunie ici.</w:t>
      </w:r>
    </w:p>
    <w:p>
      <w:pPr>
        <w:pStyle w:val="Heading2"/>
      </w:pPr>
      <w:r>
        <w:t xml:space="preserve">Littérature grise (FAO, thèses)</w:t>
      </w:r>
    </w:p>
    <w:p>
      <w:pPr>
        <w:spacing w:after="140"/>
      </w:pPr>
      <w:r>
        <w:rPr>
          <w:rFonts w:ascii="Arial" w:cs="Arial" w:eastAsia="Arial" w:hAnsi="Arial"/>
          <w:b w:val="false"/>
          <w:bCs w:val="false"/>
          <w:i w:val="false"/>
          <w:iCs w:val="false"/>
          <w:sz w:val="22"/>
          <w:szCs w:val="22"/>
        </w:rPr>
        <w:t xml:space="preserve">La recherche de littérature grise, demandée par l'équipe, a fait l'objet d'un test préliminaire via Publish or Perish. Le volume pertinent est estimé grossièrement à une cinquantaine de documents. Ces documents (rapports FAO, thèses) sont longs : leur tri, qui suppose de parcourir résumé, sommaire, introduction et conclusions, est estimé à 25 minutes par document, soit environ une demi-semaine au total. Ce volume reste modeste, mais s'ajoute au reste.</w:t>
      </w:r>
    </w:p>
    <w:p>
      <w:pPr>
        <w:pStyle w:val="Heading1"/>
      </w:pPr>
      <w:r>
        <w:t xml:space="preserve">4. Phase 03 — Extraction des données</w:t>
      </w:r>
    </w:p>
    <w:p>
      <w:pPr>
        <w:spacing w:after="140"/>
      </w:pPr>
      <w:r>
        <w:rPr>
          <w:rFonts w:ascii="Arial" w:cs="Arial" w:eastAsia="Arial" w:hAnsi="Arial"/>
          <w:b w:val="false"/>
          <w:bCs w:val="false"/>
          <w:i w:val="false"/>
          <w:iCs w:val="false"/>
          <w:sz w:val="22"/>
          <w:szCs w:val="22"/>
        </w:rPr>
        <w:t xml:space="preserve">L'extraction concerne trois ensembles distincts d'articles, traités selon la même chaîne (extraction automatique, tri full-text, validation manuelle) avec des temps adaptés à la nature des documents, ainsi qu'un travail transversal de fiches modèles.</w:t>
      </w:r>
    </w:p>
    <w:p>
      <w:pPr>
        <w:pStyle w:val="Heading2"/>
      </w:pPr>
      <w:r>
        <w:t xml:space="preserve">Corpus 1 — les 816 inclus déjà identifiés</w:t>
      </w:r>
    </w:p>
    <w:p>
      <w:pPr>
        <w:spacing w:after="140"/>
      </w:pPr>
      <w:r>
        <w:rPr>
          <w:rFonts w:ascii="Arial" w:cs="Arial" w:eastAsia="Arial" w:hAnsi="Arial"/>
          <w:b w:val="false"/>
          <w:bCs w:val="false"/>
          <w:i w:val="false"/>
          <w:iCs w:val="false"/>
          <w:sz w:val="22"/>
          <w:szCs w:val="22"/>
        </w:rPr>
        <w:t xml:space="preserve">L'extraction automatique par script (Python avec assistance IA) a déjà été réalisée pour 207 articles, en environ une demi-journée : cette étape est rapide et peu coûteuse. L'appliquer au reste des articles inclus ne demande que quelques heures supplémentaires. Le coût réel est ailleurs : le tri full-text (lecture de l'article et décision d'inclusion sur critères) est estimé à 15 minutes par article, soit environ 5,5 semaines pour les 816 ; et la validation manuelle des fiches pré-remplies représente environ 7,3 semaines.</w:t>
      </w:r>
    </w:p>
    <w:p>
      <w:pPr>
        <w:spacing w:after="140"/>
      </w:pPr>
      <w:r>
        <w:rPr>
          <w:rFonts w:ascii="Arial" w:cs="Arial" w:eastAsia="Arial" w:hAnsi="Arial"/>
          <w:b w:val="false"/>
          <w:bCs w:val="false"/>
          <w:i w:val="false"/>
          <w:iCs w:val="false"/>
          <w:sz w:val="22"/>
          <w:szCs w:val="22"/>
        </w:rPr>
        <w:t xml:space="preserve">L'estimation du temps de validation s'appuie sur une mesure concrète. Chaque fiche article comporte 27 champs, chacun assorti d'un indice de confiance produit par l'extraction automatique. L'analyse des 207 fiches déjà remplies montre qu'environ 87 % des champs sont à confiance haute (vérification d'un simple coup d'œil) et seulement 13 % à confiance moyenne ou basse, soit en moyenne trois à quatre champs par article à relire et corriger. La validation ne consiste donc pas à remplir 27 champs de zéro, mais à vérifier une fiche largement pré-remplie. Le temps retenu, 20 minutes par fiche, intègre cette réalité tout en gardant une marge pour les articles plus complexes.</w:t>
      </w:r>
    </w:p>
    <w:p>
      <w:pPr>
        <w:pStyle w:val="Heading2"/>
      </w:pPr>
      <w:r>
        <w:t xml:space="preserve">Corpus 2 — les nouveaux inclus issus des abstracts restants</w:t>
      </w:r>
    </w:p>
    <w:p>
      <w:pPr>
        <w:spacing w:after="140"/>
      </w:pPr>
      <w:r>
        <w:rPr>
          <w:rFonts w:ascii="Arial" w:cs="Arial" w:eastAsia="Arial" w:hAnsi="Arial"/>
          <w:b w:val="false"/>
          <w:bCs w:val="false"/>
          <w:i w:val="false"/>
          <w:iCs w:val="false"/>
          <w:sz w:val="22"/>
          <w:szCs w:val="22"/>
        </w:rPr>
        <w:t xml:space="preserve">Le screening des 2 011 abstracts restants produira de nouveaux articles inclus, qui devront eux aussi être téléchargés, extraits et validés. En retenant un taux d'inclusion de 50 % (paramétrable), cela représente environ 1 006 nouveaux articles. Leur traitement complet (téléchargement, extraction, tri full-text, validation) ajoute de l'ordre de 18 semaines, dont environ 6,8 pour le tri et 9,1 pour la validation.</w:t>
      </w:r>
    </w:p>
    <w:p>
      <w:pPr>
        <w:pStyle w:val="Heading2"/>
      </w:pPr>
      <w:r>
        <w:t xml:space="preserve">Corpus 3 — la littérature grise retenue</w:t>
      </w:r>
    </w:p>
    <w:p>
      <w:pPr>
        <w:spacing w:after="140"/>
      </w:pPr>
      <w:r>
        <w:rPr>
          <w:rFonts w:ascii="Arial" w:cs="Arial" w:eastAsia="Arial" w:hAnsi="Arial"/>
          <w:b w:val="false"/>
          <w:bCs w:val="false"/>
          <w:i w:val="false"/>
          <w:iCs w:val="false"/>
          <w:sz w:val="22"/>
          <w:szCs w:val="22"/>
        </w:rPr>
        <w:t xml:space="preserve">Une partie de la littérature grise triée sera jugée pertinente et devra être extraite et validée. En retenant un taux d'inclusion de 30 %, cela représente une quinzaine de documents. Ces documents étant longs et moins standardisés que des articles, leur validation est estimée à 45 minutes chacun, soit le double d'un article. Le volume reste faible (environ 0,3 semaine), mais le temps unitaire élevé reflète bien la nature de ces documents.</w:t>
      </w:r>
    </w:p>
    <w:p>
      <w:pPr>
        <w:pStyle w:val="Heading2"/>
      </w:pPr>
      <w:r>
        <w:t xml:space="preserve">Fiches modèles</w:t>
      </w:r>
    </w:p>
    <w:p>
      <w:pPr>
        <w:spacing w:after="140"/>
      </w:pPr>
      <w:r>
        <w:rPr>
          <w:rFonts w:ascii="Arial" w:cs="Arial" w:eastAsia="Arial" w:hAnsi="Arial"/>
          <w:b w:val="false"/>
          <w:bCs w:val="false"/>
          <w:i w:val="false"/>
          <w:iCs w:val="false"/>
          <w:sz w:val="22"/>
          <w:szCs w:val="22"/>
        </w:rPr>
        <w:t xml:space="preserve">En complément des fiches articles, la revue produit des fiches modèles, qui décrivent les capacités de chaque modèle de manière transversale. Contrairement aux fiches articles (une par article), il existe une fiche par modèle canonique distinct : leur nombre est donc bien plus faible, estimé à une quarantaine pour le corpus complet (28 modèles sont déjà identifiés, le corpus complet en apportera de nouveaux). Chaque fiche est pré-remplie par l'IA puis vérifiée par un expert, ce qui suppose de se documenter sur le modèle concerné : ce travail est estimé à environ une heure par fiche, soit de l'ordre d'une semaine au total.</w:t>
      </w:r>
    </w:p>
    <w:p>
      <w:pPr>
        <w:pStyle w:val="Heading2"/>
      </w:pPr>
      <w:r>
        <w:t xml:space="preserve">Harmonisation et consolidation</w:t>
      </w:r>
    </w:p>
    <w:p>
      <w:pPr>
        <w:spacing w:after="140"/>
      </w:pPr>
      <w:r>
        <w:rPr>
          <w:rFonts w:ascii="Arial" w:cs="Arial" w:eastAsia="Arial" w:hAnsi="Arial"/>
          <w:b w:val="false"/>
          <w:bCs w:val="false"/>
          <w:i w:val="false"/>
          <w:iCs w:val="false"/>
          <w:sz w:val="22"/>
          <w:szCs w:val="22"/>
        </w:rPr>
        <w:t xml:space="preserve">Une fois les fiches validées, l'harmonisation du vocabulaire et la consolidation de la base demandent de relancer le code de canonisation déjà développé, mais aussi un travail expert de vérification de chaque modèle et d'arbitrage des cas ambigus (familles à trancher, modèles à classer). Réalisé comme un travail à part après les validations, il est estimé à une demi-semaine.</w:t>
      </w:r>
    </w:p>
    <w:p>
      <w:pPr>
        <w:pStyle w:val="Heading1"/>
      </w:pPr>
      <w:r>
        <w:t xml:space="preserve">5. Phases 04 et 05 — Analyses et rédaction</w:t>
      </w:r>
    </w:p>
    <w:p>
      <w:pPr>
        <w:spacing w:after="140"/>
      </w:pPr>
      <w:r>
        <w:rPr>
          <w:rFonts w:ascii="Arial" w:cs="Arial" w:eastAsia="Arial" w:hAnsi="Arial"/>
          <w:b w:val="false"/>
          <w:bCs w:val="false"/>
          <w:i w:val="false"/>
          <w:iCs w:val="false"/>
          <w:sz w:val="22"/>
          <w:szCs w:val="22"/>
        </w:rPr>
        <w:t xml:space="preserve">Les principales visualisations de la phase 04 (radars de capacités, heatmap comparative des modèles, ordination en familles) sont déjà produites dans le rapport d'analyses. La finalisation restante (mise en forme, messages clés) est estimée à environ une semaine. Trois tâches de cette phase restent en attente d'éléments extérieurs et ne sont pas chiffrées : les tableaux de faisabilité par site BRIDGES (qui requièrent les données de disponibilité par territoire, à fournir par l'équipe), le score composite de pertinence (qui requiert une formule de pondération à définir collectivement), et les ateliers de co-construction (qui relèvent de l'organisation d'événements, non d'une production analytique).</w:t>
      </w:r>
    </w:p>
    <w:p>
      <w:pPr>
        <w:spacing w:after="140"/>
      </w:pPr>
      <w:r>
        <w:rPr>
          <w:rFonts w:ascii="Arial" w:cs="Arial" w:eastAsia="Arial" w:hAnsi="Arial"/>
          <w:b w:val="false"/>
          <w:bCs w:val="false"/>
          <w:i w:val="false"/>
          <w:iCs w:val="false"/>
          <w:sz w:val="22"/>
          <w:szCs w:val="22"/>
        </w:rPr>
        <w:t xml:space="preserve">La phase 05 de rédaction (manuscrit, matériaux supplémentaires, révisions internes et avec les co-auteurs) est estimée forfaitairement à environ 6 semaines, à laquelle s'ajoute le guide de choix de modèle prévu comme livrable BRIDGES, soit environ une semaine.</w:t>
      </w:r>
    </w:p>
    <w:p>
      <w:pPr>
        <w:pStyle w:val="Heading1"/>
      </w:pPr>
      <w:r>
        <w:t xml:space="preserve">6. Synthèse</w:t>
      </w:r>
    </w:p>
    <w:p>
      <w:pPr>
        <w:spacing w:after="140"/>
      </w:pPr>
      <w:r>
        <w:rPr>
          <w:rFonts w:ascii="Arial" w:cs="Arial" w:eastAsia="Arial" w:hAnsi="Arial"/>
          <w:b w:val="false"/>
          <w:bCs w:val="false"/>
          <w:i w:val="false"/>
          <w:iCs w:val="false"/>
          <w:sz w:val="22"/>
          <w:szCs w:val="22"/>
        </w:rPr>
        <w:t xml:space="preserve">La charge est présentée selon quatre périmètres cumulatifs, du plus restreint au plus complet, exprimés en semaines-personne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Scénario</w:t>
            </w:r>
          </w:p>
        </w:tc>
        <w:tc>
          <w:tcPr>
            <w:tcW w:type="dxa" w:w="39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Charge (semaines-personne)</w:t>
            </w:r>
          </w:p>
        </w:tc>
      </w:tr>
      <w:tr>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 Corpus 1 seul (816) + fiches modèles + analyses + rédaction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23</w:t>
            </w:r>
          </w:p>
        </w:tc>
      </w:tr>
      <w:tr>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 + reste du corpus d'abstracts (2011 → corpus 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47</w:t>
            </w:r>
          </w:p>
        </w:tc>
      </w:tr>
      <w:tr>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 + snowballing net estimé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111</w:t>
            </w:r>
          </w:p>
        </w:tc>
      </w:tr>
      <w:tr>
        <w:tc>
          <w:tcPr>
            <w:tcW w:type="dxa" w:w="54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D. + littérature grise (FAO, thèses)</w:t>
            </w:r>
          </w:p>
        </w:tc>
        <w:tc>
          <w:tcPr>
            <w:tcW w:type="dxa" w:w="396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 112</w:t>
            </w:r>
          </w:p>
        </w:tc>
      </w:tr>
    </w:tbl>
    <w:p>
      <w:pPr>
        <w:spacing w:after="160"/>
      </w:pPr>
      <w:r>
        <w:rPr>
          <w:rFonts w:ascii="Arial" w:cs="Arial" w:eastAsia="Arial" w:hAnsi="Arial"/>
          <w:b w:val="false"/>
          <w:bCs w:val="false"/>
          <w:i w:val="false"/>
          <w:iCs w:val="false"/>
          <w:sz w:val="22"/>
          <w:szCs w:val="22"/>
        </w:rPr>
        <w:t xml:space="preserve">Même le scénario le plus restreint, qui consiste seulement à finir proprement le traitement du corpus déjà identifié sans aucun élargissement, représente déjà plus de vingt semaines-personne. L'ajout du reste des abstracts, puis du snowballing, puis de la littérature grise fait croître la charge de façon considérable.</w:t>
      </w:r>
    </w:p>
    <w:p>
      <w:pPr>
        <w:pStyle w:val="Heading1"/>
      </w:pPr>
      <w:r>
        <w:t xml:space="preserve">7. Options à discuter</w:t>
      </w:r>
    </w:p>
    <w:p>
      <w:pPr>
        <w:spacing w:after="140"/>
      </w:pPr>
      <w:r>
        <w:rPr>
          <w:rFonts w:ascii="Arial" w:cs="Arial" w:eastAsia="Arial" w:hAnsi="Arial"/>
          <w:b w:val="false"/>
          <w:bCs w:val="false"/>
          <w:i w:val="false"/>
          <w:iCs w:val="false"/>
          <w:sz w:val="22"/>
          <w:szCs w:val="22"/>
        </w:rPr>
        <w:t xml:space="preserve">Ces constats ne remettent pas en cause l'intérêt scientifique de la revue. Ils invitent à redéfinir collectivement un périmètre réaliste. Plusieurs pistes, non exclusives :</w:t>
      </w:r>
    </w:p>
    <w:p>
      <w:pPr>
        <w:pStyle w:val="ListParagraph"/>
        <w:numPr>
          <w:ilvl w:val="0"/>
          <w:numId w:val="2"/>
        </w:numPr>
        <w:spacing w:after="80"/>
      </w:pPr>
      <w:r>
        <w:rPr>
          <w:rFonts w:ascii="Arial" w:cs="Arial" w:eastAsia="Arial" w:hAnsi="Arial"/>
          <w:sz w:val="22"/>
          <w:szCs w:val="22"/>
        </w:rPr>
        <w:t xml:space="preserve">Recentrer la livraison sur le corpus Web of Science, sans snowballing exhaustif. Une scoping review n'exige pas l'exhaustivité d'une revue systématique ; l'absence de snowballing peut être assumée et déclarée comme limite.</w:t>
      </w:r>
    </w:p>
    <w:p>
      <w:pPr>
        <w:pStyle w:val="ListParagraph"/>
        <w:numPr>
          <w:ilvl w:val="0"/>
          <w:numId w:val="2"/>
        </w:numPr>
        <w:spacing w:after="80"/>
      </w:pPr>
      <w:r>
        <w:rPr>
          <w:rFonts w:ascii="Arial" w:cs="Arial" w:eastAsia="Arial" w:hAnsi="Arial"/>
          <w:sz w:val="22"/>
          <w:szCs w:val="22"/>
        </w:rPr>
        <w:t xml:space="preserve">Limiter le snowballing et la littérature grise à un sous-ensemble ciblé plutôt qu'à l'ensemble du corpus.</w:t>
      </w:r>
    </w:p>
    <w:p>
      <w:pPr>
        <w:pStyle w:val="ListParagraph"/>
        <w:numPr>
          <w:ilvl w:val="0"/>
          <w:numId w:val="2"/>
        </w:numPr>
        <w:spacing w:after="80"/>
      </w:pPr>
      <w:r>
        <w:rPr>
          <w:rFonts w:ascii="Arial" w:cs="Arial" w:eastAsia="Arial" w:hAnsi="Arial"/>
          <w:sz w:val="22"/>
          <w:szCs w:val="22"/>
        </w:rPr>
        <w:t xml:space="preserve">Mobiliser plusieurs évaluateurs, condition par ailleurs requise pour la rigueur méthodologique (double screening indépendant).</w:t>
      </w:r>
    </w:p>
    <w:p>
      <w:pPr>
        <w:spacing w:after="100"/>
      </w:pPr>
      <w:r>
        <w:rPr>
          <w:rFonts w:ascii="Arial" w:cs="Arial" w:eastAsia="Arial" w:hAnsi="Arial"/>
          <w:b w:val="false"/>
          <w:bCs w:val="false"/>
          <w:i/>
          <w:iCs/>
          <w:sz w:val="22"/>
          <w:szCs w:val="22"/>
        </w:rPr>
        <w:t xml:space="preserve">Le fichier de calcul joint permet de tester l'effet de chacune de ces options en modifiant les paramètres (nombre de personnes, périmètre, temps unitaires, taux d'inclusion).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5F"/>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2026-06-26T15:03:16.066Z</dcterms:created>
  <dcterms:modified xsi:type="dcterms:W3CDTF">2026-06-26T15:03:16.095Z</dcterms:modified>
</cp:coreProperties>
</file>

<file path=docProps/custom.xml><?xml version="1.0" encoding="utf-8"?>
<Properties xmlns="http://schemas.openxmlformats.org/officeDocument/2006/custom-properties" xmlns:vt="http://schemas.openxmlformats.org/officeDocument/2006/docPropsVTypes"/>
</file>