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13F6" w14:textId="77777777" w:rsidR="006864CC" w:rsidRPr="006864CC" w:rsidRDefault="006864CC" w:rsidP="006864CC">
      <w:p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Critères d'inclusion (tous doivent être remplis)</w:t>
      </w:r>
    </w:p>
    <w:p w14:paraId="4470A09B" w14:textId="0C2F6D33" w:rsidR="006864CC" w:rsidRPr="006864CC" w:rsidRDefault="006864CC" w:rsidP="006864C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Système</w:t>
      </w:r>
      <w:r w:rsidRPr="006864CC">
        <w:rPr>
          <w:rFonts w:ascii="Times New Roman" w:eastAsia="Times New Roman" w:hAnsi="Times New Roman" w:cs="Times New Roman"/>
          <w:kern w:val="0"/>
          <w:lang w:eastAsia="en-GB"/>
          <w14:ligatures w14:val="none"/>
        </w:rPr>
        <w:t xml:space="preserve"> : marin, côtier ou estuarien, constituant un socio-écosystème incluant des usages humains dont la pêche. Les systèmes terrestres/dulçaquicoles sont exclus.</w:t>
      </w:r>
    </w:p>
    <w:p w14:paraId="2FCE24CA" w14:textId="0B057F0B" w:rsidR="006864CC" w:rsidRPr="006864CC" w:rsidRDefault="006864CC" w:rsidP="006864C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Modèle</w:t>
      </w:r>
      <w:r w:rsidRPr="006864CC">
        <w:rPr>
          <w:rFonts w:ascii="Times New Roman" w:eastAsia="Times New Roman" w:hAnsi="Times New Roman" w:cs="Times New Roman"/>
          <w:kern w:val="0"/>
          <w:lang w:eastAsia="en-GB"/>
          <w14:ligatures w14:val="none"/>
        </w:rPr>
        <w:t xml:space="preserve"> : l'article présente, développe ou applique un modèle au sens large (mécanistique, statistique, hybride, qualitatif, participatif, conceptuel). Doit aller au-delà de la statistique descriptive. Les modèles mécanistiques sont inclus dès lors qu'ils ont une utilité ou application potentielle pour la gestion, même indirecte. Les modèles statistiques ne sont inclus que si le lien avec la gestion est </w:t>
      </w:r>
      <w:r w:rsidRPr="000F5BA9">
        <w:rPr>
          <w:rFonts w:ascii="Times New Roman" w:eastAsia="Times New Roman" w:hAnsi="Times New Roman" w:cs="Times New Roman"/>
          <w:kern w:val="0"/>
          <w:lang w:eastAsia="en-GB"/>
          <w14:ligatures w14:val="none"/>
        </w:rPr>
        <w:t>explicite</w:t>
      </w:r>
      <w:r w:rsidR="0005793A">
        <w:rPr>
          <w:rFonts w:ascii="Times New Roman" w:eastAsia="Times New Roman" w:hAnsi="Times New Roman" w:cs="Times New Roman"/>
          <w:kern w:val="0"/>
          <w:lang w:eastAsia="en-GB"/>
          <w14:ligatures w14:val="none"/>
        </w:rPr>
        <w:t xml:space="preserve"> (i.e. directement testé)</w:t>
      </w:r>
      <w:r w:rsidRPr="000F5BA9">
        <w:rPr>
          <w:rFonts w:ascii="Times New Roman" w:eastAsia="Times New Roman" w:hAnsi="Times New Roman" w:cs="Times New Roman"/>
          <w:kern w:val="0"/>
          <w:lang w:eastAsia="en-GB"/>
          <w14:ligatures w14:val="none"/>
        </w:rPr>
        <w:t>.</w:t>
      </w:r>
      <w:r w:rsidR="0005793A">
        <w:rPr>
          <w:rFonts w:ascii="Times New Roman" w:eastAsia="Times New Roman" w:hAnsi="Times New Roman" w:cs="Times New Roman"/>
          <w:kern w:val="0"/>
          <w:lang w:eastAsia="en-GB"/>
          <w14:ligatures w14:val="none"/>
        </w:rPr>
        <w:t xml:space="preserve"> Concernant les modèles physiques/environmentaux, si l’application a une implication écologique directe (ex: déplacements de masses d’eaux dans un lagon), ces études doivent être inclues. </w:t>
      </w:r>
    </w:p>
    <w:p w14:paraId="16FE649A" w14:textId="4F0A9F33" w:rsidR="00B35066" w:rsidRPr="00FF4BB0" w:rsidRDefault="006864CC" w:rsidP="00FF4BB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Lien gestion</w:t>
      </w:r>
      <w:r w:rsidRPr="006864CC">
        <w:rPr>
          <w:rFonts w:ascii="Times New Roman" w:eastAsia="Times New Roman" w:hAnsi="Times New Roman" w:cs="Times New Roman"/>
          <w:kern w:val="0"/>
          <w:lang w:eastAsia="en-GB"/>
          <w14:ligatures w14:val="none"/>
        </w:rPr>
        <w:t xml:space="preserve"> : lien explicite ou implicite avec l'aide à la décision, la gestion spatiale, la planification de la conservation, l'évaluation de scénarios ou la gestion des pêcheries.</w:t>
      </w:r>
    </w:p>
    <w:p w14:paraId="43C4EBC7" w14:textId="1918EE36" w:rsidR="00B35066" w:rsidRPr="00FF4BB0" w:rsidRDefault="006864CC" w:rsidP="00FF4BB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Multi-espèces ou écosystémique</w:t>
      </w:r>
      <w:r w:rsidRPr="006864CC">
        <w:rPr>
          <w:rFonts w:ascii="Times New Roman" w:eastAsia="Times New Roman" w:hAnsi="Times New Roman" w:cs="Times New Roman"/>
          <w:kern w:val="0"/>
          <w:lang w:eastAsia="en-GB"/>
          <w14:ligatures w14:val="none"/>
        </w:rPr>
        <w:t xml:space="preserve"> : les études mono-spécifiques sont exclues. Exception à clarifier : SDM d'une espèce commerciale clé utilisé explicitement pour la gestion halieutique ou le design d'AMP</w:t>
      </w:r>
      <w:r w:rsidR="000F5BA9">
        <w:rPr>
          <w:rFonts w:ascii="Times New Roman" w:eastAsia="Times New Roman" w:hAnsi="Times New Roman" w:cs="Times New Roman"/>
          <w:kern w:val="0"/>
          <w:lang w:eastAsia="en-GB"/>
          <w14:ligatures w14:val="none"/>
        </w:rPr>
        <w:t xml:space="preserve"> </w:t>
      </w:r>
      <w:r w:rsidR="000F5BA9" w:rsidRPr="000F5BA9">
        <w:rPr>
          <w:rFonts w:ascii="Times New Roman" w:eastAsia="Times New Roman" w:hAnsi="Times New Roman" w:cs="Times New Roman"/>
          <w:kern w:val="0"/>
          <w:lang w:eastAsia="en-GB"/>
          <w14:ligatures w14:val="none"/>
        </w:rPr>
        <w:sym w:font="Wingdings" w:char="F0E0"/>
      </w:r>
      <w:r w:rsidR="000F5BA9">
        <w:rPr>
          <w:rFonts w:ascii="Times New Roman" w:eastAsia="Times New Roman" w:hAnsi="Times New Roman" w:cs="Times New Roman"/>
          <w:kern w:val="0"/>
          <w:lang w:eastAsia="en-GB"/>
          <w14:ligatures w14:val="none"/>
        </w:rPr>
        <w:t xml:space="preserve"> oui inclure. </w:t>
      </w:r>
    </w:p>
    <w:p w14:paraId="7D27B6C6" w14:textId="6C44950D" w:rsidR="006864CC" w:rsidRPr="006864CC" w:rsidRDefault="006864CC" w:rsidP="006864C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commentRangeStart w:id="0"/>
      <w:r w:rsidRPr="006864CC">
        <w:rPr>
          <w:rFonts w:ascii="Times New Roman" w:eastAsia="Times New Roman" w:hAnsi="Times New Roman" w:cs="Times New Roman"/>
          <w:b/>
          <w:bCs/>
          <w:kern w:val="0"/>
          <w:lang w:eastAsia="en-GB"/>
          <w14:ligatures w14:val="none"/>
        </w:rPr>
        <w:t>Type de publication</w:t>
      </w:r>
      <w:r w:rsidRPr="006864CC">
        <w:rPr>
          <w:rFonts w:ascii="Times New Roman" w:eastAsia="Times New Roman" w:hAnsi="Times New Roman" w:cs="Times New Roman"/>
          <w:kern w:val="0"/>
          <w:lang w:eastAsia="en-GB"/>
          <w14:ligatures w14:val="none"/>
        </w:rPr>
        <w:t xml:space="preserve"> </w:t>
      </w:r>
      <w:commentRangeEnd w:id="0"/>
      <w:r w:rsidR="00751C4E" w:rsidRPr="006864CC">
        <w:rPr>
          <w:rStyle w:val="CommentReference"/>
          <w:rFonts w:ascii="Times New Roman" w:eastAsia="Times New Roman" w:hAnsi="Times New Roman" w:cs="Times New Roman"/>
          <w:kern w:val="0"/>
          <w:sz w:val="24"/>
          <w:szCs w:val="24"/>
          <w:lang w:eastAsia="en-GB"/>
          <w14:ligatures w14:val="none"/>
        </w:rPr>
        <w:commentReference w:id="0"/>
      </w:r>
      <w:r w:rsidRPr="006864CC">
        <w:rPr>
          <w:rFonts w:ascii="Times New Roman" w:eastAsia="Times New Roman" w:hAnsi="Times New Roman" w:cs="Times New Roman"/>
          <w:kern w:val="0"/>
          <w:lang w:eastAsia="en-GB"/>
          <w14:ligatures w14:val="none"/>
        </w:rPr>
        <w:t xml:space="preserve">: articles originaux, articles de modélisation, rapports techniques institutionnels (FAO, ICES, etc.). Les revues/synthèses sont incluses et marquées </w:t>
      </w:r>
      <w:r w:rsidRPr="006864CC">
        <w:rPr>
          <w:rFonts w:ascii="Courier New" w:eastAsia="Times New Roman" w:hAnsi="Courier New" w:cs="Courier New"/>
          <w:kern w:val="0"/>
          <w:sz w:val="20"/>
          <w:szCs w:val="20"/>
          <w:lang w:eastAsia="en-GB"/>
          <w14:ligatures w14:val="none"/>
        </w:rPr>
        <w:t>Review/synthesis</w:t>
      </w:r>
      <w:r w:rsidRPr="006864CC">
        <w:rPr>
          <w:rFonts w:ascii="Times New Roman" w:eastAsia="Times New Roman" w:hAnsi="Times New Roman" w:cs="Times New Roman"/>
          <w:kern w:val="0"/>
          <w:lang w:eastAsia="en-GB"/>
          <w14:ligatures w14:val="none"/>
        </w:rPr>
        <w:t>. Les livres sont exclus</w:t>
      </w:r>
      <w:r w:rsidR="00053D02">
        <w:rPr>
          <w:rFonts w:ascii="Times New Roman" w:eastAsia="Times New Roman" w:hAnsi="Times New Roman" w:cs="Times New Roman"/>
          <w:kern w:val="0"/>
          <w:lang w:eastAsia="en-GB"/>
          <w14:ligatures w14:val="none"/>
        </w:rPr>
        <w:t xml:space="preserve">. </w:t>
      </w:r>
    </w:p>
    <w:p w14:paraId="779BB526" w14:textId="77777777" w:rsidR="006864CC" w:rsidRPr="006864CC" w:rsidRDefault="006864CC" w:rsidP="006864C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Langue</w:t>
      </w:r>
      <w:r w:rsidRPr="006864CC">
        <w:rPr>
          <w:rFonts w:ascii="Times New Roman" w:eastAsia="Times New Roman" w:hAnsi="Times New Roman" w:cs="Times New Roman"/>
          <w:kern w:val="0"/>
          <w:lang w:eastAsia="en-GB"/>
          <w14:ligatures w14:val="none"/>
        </w:rPr>
        <w:t xml:space="preserve"> : anglais et français.</w:t>
      </w:r>
    </w:p>
    <w:p w14:paraId="2B817050" w14:textId="77777777" w:rsidR="006864CC" w:rsidRPr="006864CC" w:rsidRDefault="006864CC" w:rsidP="006864C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Période</w:t>
      </w:r>
      <w:r w:rsidRPr="006864CC">
        <w:rPr>
          <w:rFonts w:ascii="Times New Roman" w:eastAsia="Times New Roman" w:hAnsi="Times New Roman" w:cs="Times New Roman"/>
          <w:kern w:val="0"/>
          <w:lang w:eastAsia="en-GB"/>
          <w14:ligatures w14:val="none"/>
        </w:rPr>
        <w:t xml:space="preserve"> : pas de restriction temporelle.</w:t>
      </w:r>
    </w:p>
    <w:p w14:paraId="1FBE6A22" w14:textId="77777777" w:rsidR="006864CC" w:rsidRPr="006864CC" w:rsidRDefault="00EA0D55" w:rsidP="006864CC">
      <w:pPr>
        <w:rPr>
          <w:rFonts w:ascii="Times New Roman" w:eastAsia="Times New Roman" w:hAnsi="Times New Roman" w:cs="Times New Roman"/>
          <w:kern w:val="0"/>
          <w:lang w:eastAsia="en-GB"/>
          <w14:ligatures w14:val="none"/>
        </w:rPr>
      </w:pPr>
      <w:r>
        <w:pict w14:anchorId="3AB2EA6A">
          <v:rect id="Horizontal Line 1"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FA4F40" w14:textId="77777777" w:rsidR="006864CC" w:rsidRPr="006864CC" w:rsidRDefault="006864CC" w:rsidP="006864CC">
      <w:p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Critères d'exclusion (un seul suffit)</w:t>
      </w:r>
    </w:p>
    <w:p w14:paraId="2BBF2D3B"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Terrestrial/Freshwater (sans interface marine explicite)</w:t>
      </w:r>
    </w:p>
    <w:p w14:paraId="6037083F"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Not a model</w:t>
      </w:r>
    </w:p>
    <w:p w14:paraId="3A445498"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Descriptive only</w:t>
      </w:r>
    </w:p>
    <w:p w14:paraId="6A6E20C9"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No management link (lien gestion absent ou trop indirect)</w:t>
      </w:r>
    </w:p>
    <w:p w14:paraId="1DECA97F"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Mono-spécifique (sauf cas limite à clarifier)</w:t>
      </w:r>
    </w:p>
    <w:p w14:paraId="1B2F24E3"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Cadre conceptuel sans application empirique</w:t>
      </w:r>
    </w:p>
    <w:p w14:paraId="7AA6D155"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Modèle purement méthodologique sans application de gestion</w:t>
      </w:r>
    </w:p>
    <w:p w14:paraId="6CB9A4E9"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Modèle physique/environnemental sans composante écologique</w:t>
      </w:r>
    </w:p>
    <w:p w14:paraId="5BE2CDB9" w14:textId="77777777" w:rsidR="006864CC" w:rsidRPr="006864CC" w:rsidRDefault="006864CC"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kern w:val="0"/>
          <w:lang w:eastAsia="en-GB"/>
          <w14:ligatures w14:val="none"/>
        </w:rPr>
        <w:t>Laboratory/Experimental</w:t>
      </w:r>
    </w:p>
    <w:p w14:paraId="07FB9AAE" w14:textId="5EE9F667" w:rsidR="006864CC" w:rsidRPr="006864CC" w:rsidRDefault="0005793A" w:rsidP="006864C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Mauvais language</w:t>
      </w:r>
    </w:p>
    <w:p w14:paraId="5A69CCD7" w14:textId="77777777" w:rsidR="006864CC" w:rsidRPr="006864CC" w:rsidRDefault="00EA0D55" w:rsidP="006864CC">
      <w:pPr>
        <w:rPr>
          <w:rFonts w:ascii="Times New Roman" w:eastAsia="Times New Roman" w:hAnsi="Times New Roman" w:cs="Times New Roman"/>
          <w:kern w:val="0"/>
          <w:lang w:eastAsia="en-GB"/>
          <w14:ligatures w14:val="none"/>
        </w:rPr>
      </w:pPr>
      <w:r>
        <w:pict w14:anchorId="11D82C91">
          <v:rect id="Horizontal Line 2"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E446D3" w14:textId="77777777" w:rsidR="006864CC" w:rsidRPr="006864CC" w:rsidRDefault="006864CC" w:rsidP="006864CC">
      <w:p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Règle en cas de doute</w:t>
      </w:r>
      <w:r w:rsidRPr="006864CC">
        <w:rPr>
          <w:rFonts w:ascii="Times New Roman" w:eastAsia="Times New Roman" w:hAnsi="Times New Roman" w:cs="Times New Roman"/>
          <w:kern w:val="0"/>
          <w:lang w:eastAsia="en-GB"/>
          <w14:ligatures w14:val="none"/>
        </w:rPr>
        <w:t xml:space="preserve"> : inclure.</w:t>
      </w:r>
    </w:p>
    <w:p w14:paraId="7B7DC3A5" w14:textId="77777777" w:rsidR="006864CC" w:rsidRPr="006864CC" w:rsidRDefault="00EA0D55" w:rsidP="006864CC">
      <w:pPr>
        <w:rPr>
          <w:rFonts w:ascii="Times New Roman" w:eastAsia="Times New Roman" w:hAnsi="Times New Roman" w:cs="Times New Roman"/>
          <w:kern w:val="0"/>
          <w:lang w:eastAsia="en-GB"/>
          <w14:ligatures w14:val="none"/>
        </w:rPr>
      </w:pPr>
      <w:r>
        <w:pict w14:anchorId="4A704BE3">
          <v:rect id="Horizontal Line 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C79D95" w14:textId="77777777" w:rsidR="006864CC" w:rsidRPr="006864CC" w:rsidRDefault="006864CC" w:rsidP="006864CC">
      <w:p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Questions ouvertes pour la réunion de demain</w:t>
      </w:r>
    </w:p>
    <w:p w14:paraId="5EF534B8" w14:textId="4D0620F0" w:rsidR="006864CC" w:rsidRPr="006864CC" w:rsidRDefault="006864CC" w:rsidP="006864C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t>Mono-spécifique — cas limite :</w:t>
      </w:r>
      <w:r w:rsidRPr="006864CC">
        <w:rPr>
          <w:rFonts w:ascii="Times New Roman" w:eastAsia="Times New Roman" w:hAnsi="Times New Roman" w:cs="Times New Roman"/>
          <w:kern w:val="0"/>
          <w:lang w:eastAsia="en-GB"/>
          <w14:ligatures w14:val="none"/>
        </w:rPr>
        <w:t xml:space="preserve"> SDM d'une espèce commerciale clé utilisé explicitement pour la gestion halieutique ou le design d'AMP — on inclut ou exclut ?</w:t>
      </w:r>
      <w:r w:rsidR="002C53FF">
        <w:rPr>
          <w:rFonts w:ascii="Times New Roman" w:eastAsia="Times New Roman" w:hAnsi="Times New Roman" w:cs="Times New Roman"/>
          <w:kern w:val="0"/>
          <w:lang w:eastAsia="en-GB"/>
          <w14:ligatures w14:val="none"/>
        </w:rPr>
        <w:t xml:space="preserve"> Inclut</w:t>
      </w:r>
    </w:p>
    <w:p w14:paraId="7FF45DA4" w14:textId="37AB53A3" w:rsidR="006864CC" w:rsidRPr="006864CC" w:rsidRDefault="006864CC" w:rsidP="006864C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864CC">
        <w:rPr>
          <w:rFonts w:ascii="Times New Roman" w:eastAsia="Times New Roman" w:hAnsi="Times New Roman" w:cs="Times New Roman"/>
          <w:b/>
          <w:bCs/>
          <w:kern w:val="0"/>
          <w:lang w:eastAsia="en-GB"/>
          <w14:ligatures w14:val="none"/>
        </w:rPr>
        <w:lastRenderedPageBreak/>
        <w:t>Estuarien/dulçaquicole :</w:t>
      </w:r>
      <w:r w:rsidRPr="006864CC">
        <w:rPr>
          <w:rFonts w:ascii="Times New Roman" w:eastAsia="Times New Roman" w:hAnsi="Times New Roman" w:cs="Times New Roman"/>
          <w:kern w:val="0"/>
          <w:lang w:eastAsia="en-GB"/>
          <w14:ligatures w14:val="none"/>
        </w:rPr>
        <w:t xml:space="preserve"> systèmes à la frontière terrestre-marin (ex. Everglades → Florida Bay) — règle stricte sur la composante marine dominante ?</w:t>
      </w:r>
      <w:r w:rsidR="00A66307">
        <w:rPr>
          <w:rFonts w:ascii="Times New Roman" w:eastAsia="Times New Roman" w:hAnsi="Times New Roman" w:cs="Times New Roman"/>
          <w:kern w:val="0"/>
          <w:lang w:eastAsia="en-GB"/>
          <w14:ligatures w14:val="none"/>
        </w:rPr>
        <w:t xml:space="preserve"> On les garde pour l’instant. </w:t>
      </w:r>
    </w:p>
    <w:p w14:paraId="5D8C21BD" w14:textId="77777777" w:rsidR="00D626B6" w:rsidRDefault="00D626B6"/>
    <w:p w14:paraId="3C139E36" w14:textId="6978E23D" w:rsidR="00D626B6" w:rsidRDefault="00D626B6">
      <w:r>
        <w:t>Prior knowledge input to ASReview:</w:t>
      </w:r>
    </w:p>
    <w:p w14:paraId="4CDA17F6" w14:textId="64A49196" w:rsidR="00D626B6" w:rsidRDefault="00D626B6" w:rsidP="00D626B6">
      <w:pPr>
        <w:pStyle w:val="font-claude-response-body"/>
      </w:pPr>
      <w:r>
        <w:rPr>
          <w:rStyle w:val="Strong"/>
          <w:rFonts w:eastAsiaTheme="majorEastAsia"/>
        </w:rPr>
        <w:t>5 Relevant (Include) :</w:t>
      </w:r>
    </w:p>
    <w:p w14:paraId="65D606D1" w14:textId="77777777" w:rsidR="00D626B6" w:rsidRDefault="00D626B6" w:rsidP="00D626B6">
      <w:pPr>
        <w:pStyle w:val="whitespace-normal"/>
        <w:numPr>
          <w:ilvl w:val="0"/>
          <w:numId w:val="4"/>
        </w:numPr>
      </w:pPr>
      <w:r>
        <w:t>Great Australian Bight ecosystem model (</w:t>
      </w:r>
      <w:r>
        <w:rPr>
          <w:rStyle w:val="HTMLCode"/>
          <w:rFonts w:eastAsiaTheme="majorEastAsia"/>
        </w:rPr>
        <w:t>10.1016/j.dsr2.2018.11.002</w:t>
      </w:r>
      <w:r>
        <w:t>)</w:t>
      </w:r>
    </w:p>
    <w:p w14:paraId="5ED06095" w14:textId="77777777" w:rsidR="00D626B6" w:rsidRDefault="00D626B6" w:rsidP="00D626B6">
      <w:pPr>
        <w:pStyle w:val="whitespace-normal"/>
        <w:numPr>
          <w:ilvl w:val="0"/>
          <w:numId w:val="4"/>
        </w:numPr>
      </w:pPr>
      <w:r>
        <w:t>Thermaikos Gulf trophic model (</w:t>
      </w:r>
      <w:r>
        <w:rPr>
          <w:rStyle w:val="HTMLCode"/>
          <w:rFonts w:eastAsiaTheme="majorEastAsia"/>
        </w:rPr>
        <w:t>10.1016/j.ecss.2021.107667</w:t>
      </w:r>
      <w:r>
        <w:t>)</w:t>
      </w:r>
    </w:p>
    <w:p w14:paraId="7B161A1A" w14:textId="77777777" w:rsidR="00D626B6" w:rsidRDefault="00D626B6" w:rsidP="00D626B6">
      <w:pPr>
        <w:pStyle w:val="whitespace-normal"/>
        <w:numPr>
          <w:ilvl w:val="0"/>
          <w:numId w:val="4"/>
        </w:numPr>
      </w:pPr>
      <w:r>
        <w:t>End-to-end sardine/anchovy California Current (</w:t>
      </w:r>
      <w:r>
        <w:rPr>
          <w:rStyle w:val="HTMLCode"/>
          <w:rFonts w:eastAsiaTheme="majorEastAsia"/>
        </w:rPr>
        <w:t>10.1016/j.pocean.2015.01.012</w:t>
      </w:r>
      <w:r>
        <w:t>)</w:t>
      </w:r>
    </w:p>
    <w:p w14:paraId="19F45FD1" w14:textId="77777777" w:rsidR="00D626B6" w:rsidRDefault="00D626B6" w:rsidP="00D626B6">
      <w:pPr>
        <w:pStyle w:val="whitespace-normal"/>
        <w:numPr>
          <w:ilvl w:val="0"/>
          <w:numId w:val="4"/>
        </w:numPr>
      </w:pPr>
      <w:r>
        <w:t>Bioeconomic cod/kelp model (</w:t>
      </w:r>
      <w:r>
        <w:rPr>
          <w:rStyle w:val="HTMLCode"/>
          <w:rFonts w:eastAsiaTheme="majorEastAsia"/>
        </w:rPr>
        <w:t>10.1007/s10640-019-00387-y</w:t>
      </w:r>
      <w:r>
        <w:t>)</w:t>
      </w:r>
    </w:p>
    <w:p w14:paraId="4F0C9EE1" w14:textId="77777777" w:rsidR="00D626B6" w:rsidRDefault="00D626B6" w:rsidP="00D626B6">
      <w:pPr>
        <w:pStyle w:val="whitespace-normal"/>
        <w:numPr>
          <w:ilvl w:val="0"/>
          <w:numId w:val="4"/>
        </w:numPr>
      </w:pPr>
      <w:r>
        <w:t>Deep-sea elasmobranch SDM Azores (</w:t>
      </w:r>
      <w:r>
        <w:rPr>
          <w:rStyle w:val="HTMLCode"/>
          <w:rFonts w:eastAsiaTheme="majorEastAsia"/>
        </w:rPr>
        <w:t>10.1016/j.dsr.2022.103707</w:t>
      </w:r>
      <w:r>
        <w:t>)</w:t>
      </w:r>
    </w:p>
    <w:p w14:paraId="3238024B" w14:textId="77777777" w:rsidR="00D626B6" w:rsidRDefault="00D626B6" w:rsidP="00D626B6">
      <w:pPr>
        <w:pStyle w:val="font-claude-response-body"/>
      </w:pPr>
      <w:r>
        <w:rPr>
          <w:rStyle w:val="Strong"/>
          <w:rFonts w:eastAsiaTheme="majorEastAsia"/>
        </w:rPr>
        <w:t>3 Not relevant (Exclude) :</w:t>
      </w:r>
    </w:p>
    <w:p w14:paraId="29BCC7F2" w14:textId="77777777" w:rsidR="00D626B6" w:rsidRDefault="00D626B6" w:rsidP="00D626B6">
      <w:pPr>
        <w:pStyle w:val="whitespace-normal"/>
        <w:numPr>
          <w:ilvl w:val="0"/>
          <w:numId w:val="5"/>
        </w:numPr>
      </w:pPr>
      <w:r>
        <w:t>Ocean biogeochemical spin-up (</w:t>
      </w:r>
      <w:r>
        <w:rPr>
          <w:rStyle w:val="HTMLCode"/>
          <w:rFonts w:eastAsiaTheme="majorEastAsia"/>
        </w:rPr>
        <w:t>10.1029/2023MS003941</w:t>
      </w:r>
      <w:r>
        <w:t>)</w:t>
      </w:r>
    </w:p>
    <w:p w14:paraId="4A4F5A71" w14:textId="77777777" w:rsidR="00D626B6" w:rsidRDefault="00D626B6" w:rsidP="00D626B6">
      <w:pPr>
        <w:pStyle w:val="whitespace-normal"/>
        <w:numPr>
          <w:ilvl w:val="0"/>
          <w:numId w:val="5"/>
        </w:numPr>
      </w:pPr>
      <w:r>
        <w:t>Sagebrush ecosystems Nevada (</w:t>
      </w:r>
      <w:r>
        <w:rPr>
          <w:rStyle w:val="HTMLCode"/>
          <w:rFonts w:eastAsiaTheme="majorEastAsia"/>
        </w:rPr>
        <w:t>10.1111/j.1600-0587.2009.05684.x</w:t>
      </w:r>
      <w:r>
        <w:t>)</w:t>
      </w:r>
    </w:p>
    <w:p w14:paraId="09583755" w14:textId="688D9AAB" w:rsidR="00053D02" w:rsidRDefault="00D626B6" w:rsidP="00053D02">
      <w:pPr>
        <w:pStyle w:val="whitespace-normal"/>
        <w:numPr>
          <w:ilvl w:val="0"/>
          <w:numId w:val="5"/>
        </w:numPr>
      </w:pPr>
      <w:r>
        <w:t>Pseudo-absences telemetry (</w:t>
      </w:r>
      <w:r>
        <w:rPr>
          <w:rStyle w:val="HTMLCode"/>
          <w:rFonts w:eastAsiaTheme="majorEastAsia"/>
        </w:rPr>
        <w:t>10.1186/s40462-021-00240-2</w:t>
      </w:r>
      <w:r>
        <w:t>)</w:t>
      </w:r>
    </w:p>
    <w:p w14:paraId="3BBEFDBF" w14:textId="71E65254" w:rsidR="00053D02" w:rsidRDefault="00053D02" w:rsidP="00053D02">
      <w:pPr>
        <w:pStyle w:val="whitespace-normal"/>
      </w:pPr>
      <w:r>
        <w:t>Questions:</w:t>
      </w:r>
    </w:p>
    <w:p w14:paraId="621612D5" w14:textId="717E7C82" w:rsidR="00053D02" w:rsidRDefault="00053D02" w:rsidP="00053D02">
      <w:pPr>
        <w:pStyle w:val="whitespace-normal"/>
        <w:numPr>
          <w:ilvl w:val="0"/>
          <w:numId w:val="6"/>
        </w:numPr>
      </w:pPr>
      <w:r>
        <w:t xml:space="preserve">Modèles qualitatifs et participatifs, comment les filtrer ? Peut-être les garder pour travailler sur les critères du quali ? Idée à élaborer lors du full text. </w:t>
      </w:r>
    </w:p>
    <w:p w14:paraId="20D18E57" w14:textId="0FB51093" w:rsidR="00056FAB" w:rsidRPr="00056FAB" w:rsidRDefault="00053D02" w:rsidP="00056FAB">
      <w:pPr>
        <w:pStyle w:val="whitespace-normal"/>
        <w:numPr>
          <w:ilvl w:val="0"/>
          <w:numId w:val="6"/>
        </w:numPr>
      </w:pPr>
      <w:r>
        <w:t xml:space="preserve">Important de ne pas perdre les livres et autres articles sans abstracts. </w:t>
      </w:r>
    </w:p>
    <w:p w14:paraId="4C5E96A3" w14:textId="3767B683"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POINTS DE DISCUSSION — RÉUNION DE SCREENING BRIDGES</w:t>
      </w:r>
      <w:r w:rsidRPr="00056FAB">
        <w:rPr>
          <w:rFonts w:ascii="Times New Roman" w:eastAsia="Times New Roman" w:hAnsi="Times New Roman" w:cs="Times New Roman"/>
          <w:kern w:val="0"/>
          <w:lang w:eastAsia="en-GB"/>
          <w14:ligatures w14:val="none"/>
        </w:rPr>
        <w:t xml:space="preserve"> </w:t>
      </w:r>
      <w:r w:rsidRPr="00056FAB">
        <w:rPr>
          <w:rFonts w:ascii="Times New Roman" w:eastAsia="Times New Roman" w:hAnsi="Times New Roman" w:cs="Times New Roman"/>
          <w:b/>
          <w:bCs/>
          <w:kern w:val="0"/>
          <w:lang w:eastAsia="en-GB"/>
          <w14:ligatures w14:val="none"/>
        </w:rPr>
        <w:t>Clarification du critère "multi-espèces ou écosystémique"</w:t>
      </w:r>
    </w:p>
    <w:p w14:paraId="63C5C0B5" w14:textId="77777777" w:rsidR="00056FAB" w:rsidRPr="00056FAB" w:rsidRDefault="00EA0D55" w:rsidP="00056F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3CFF32">
          <v:rect id="_x0000_i1029" alt="" style="width:451.3pt;height:.05pt;mso-width-percent:0;mso-height-percent:0;mso-width-percent:0;mso-height-percent:0" o:hralign="center" o:hrstd="t" o:hr="t" fillcolor="#a0a0a0" stroked="f"/>
        </w:pict>
      </w:r>
    </w:p>
    <w:p w14:paraId="347EC342"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RAPPEL DU CRITÈRE ACTUEL</w:t>
      </w:r>
    </w:p>
    <w:p w14:paraId="7E159D34" w14:textId="1A9AE78F"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 xml:space="preserve">"Multi-espèces ou écosystémique : les études mono-spécifiques sont exclues. Exception : SDM d'une espèce commerciale clé utilisé explicitement pour la gestion halieutique ou le design d'AMP </w:t>
      </w:r>
      <w:r>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inclure."</w:t>
      </w:r>
    </w:p>
    <w:p w14:paraId="1E3CD91E"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Lors du screening, 12 papiers ont été inclus provisoirement sous la règle du doute car ils soulèvent trois questions opérationnelles sur ce critère.</w:t>
      </w:r>
    </w:p>
    <w:p w14:paraId="1F6205E1" w14:textId="77777777" w:rsidR="00056FAB" w:rsidRPr="00056FAB" w:rsidRDefault="00EA0D55" w:rsidP="00056F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19E9AA1">
          <v:rect id="_x0000_i1028" alt="" style="width:451.3pt;height:.05pt;mso-width-percent:0;mso-height-percent:0;mso-width-percent:0;mso-height-percent:0" o:hralign="center" o:hrstd="t" o:hr="t" fillcolor="#a0a0a0" stroked="f"/>
        </w:pict>
      </w:r>
    </w:p>
    <w:p w14:paraId="0E884223"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1 — L'exception SDM s'étend-elle à d'autres types de modèles mono-spécifiques ?</w:t>
      </w:r>
    </w:p>
    <w:p w14:paraId="1C5DF170"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La décision du 30 mars portait uniquement sur les SDMs. Or plusieurs papiers présentent des modèles mono-spécifiques sophistiqués avec un lien gestion très fort mais utilisant d'autres types de modèles.</w:t>
      </w:r>
    </w:p>
    <w:p w14:paraId="5B041C6B"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lastRenderedPageBreak/>
        <w:t>Papiers concernés :</w:t>
      </w:r>
    </w:p>
    <w:p w14:paraId="47C320B1" w14:textId="1341E677"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color w:val="EE0000"/>
          <w:kern w:val="0"/>
          <w:lang w:eastAsia="en-GB"/>
          <w14:ligatures w14:val="none"/>
        </w:rPr>
      </w:pPr>
      <w:r w:rsidRPr="00056FAB">
        <w:rPr>
          <w:rFonts w:ascii="Times New Roman" w:eastAsia="Times New Roman" w:hAnsi="Times New Roman" w:cs="Times New Roman"/>
          <w:i/>
          <w:iCs/>
          <w:kern w:val="0"/>
          <w:lang w:eastAsia="en-GB"/>
          <w14:ligatures w14:val="none"/>
        </w:rPr>
        <w:t>NE Atlantic mackerel fishery</w:t>
      </w:r>
      <w:r w:rsidRPr="00056FAB">
        <w:rPr>
          <w:rFonts w:ascii="Times New Roman" w:eastAsia="Times New Roman" w:hAnsi="Times New Roman" w:cs="Times New Roman"/>
          <w:kern w:val="0"/>
          <w:lang w:eastAsia="en-GB"/>
          <w14:ligatures w14:val="none"/>
        </w:rPr>
        <w:t xml:space="preserve"> — IBM mono-spécifique, scénarios de pêche et fermetures spatiales à 2050</w:t>
      </w:r>
      <w:r w:rsidR="00162E69">
        <w:rPr>
          <w:rFonts w:ascii="Times New Roman" w:eastAsia="Times New Roman" w:hAnsi="Times New Roman" w:cs="Times New Roman"/>
          <w:kern w:val="0"/>
          <w:lang w:eastAsia="en-GB"/>
          <w14:ligatures w14:val="none"/>
        </w:rPr>
        <w:t xml:space="preserve"> – </w:t>
      </w:r>
      <w:r w:rsidR="00162E69" w:rsidRPr="00162E69">
        <w:rPr>
          <w:rFonts w:ascii="Times New Roman" w:eastAsia="Times New Roman" w:hAnsi="Times New Roman" w:cs="Times New Roman"/>
          <w:color w:val="EE0000"/>
          <w:kern w:val="0"/>
          <w:lang w:eastAsia="en-GB"/>
          <w14:ligatures w14:val="none"/>
        </w:rPr>
        <w:t>méchanistique</w:t>
      </w:r>
      <w:r w:rsidR="00162E69">
        <w:rPr>
          <w:rFonts w:ascii="Times New Roman" w:eastAsia="Times New Roman" w:hAnsi="Times New Roman" w:cs="Times New Roman"/>
          <w:color w:val="EE0000"/>
          <w:kern w:val="0"/>
          <w:lang w:eastAsia="en-GB"/>
          <w14:ligatures w14:val="none"/>
        </w:rPr>
        <w:t>, include</w:t>
      </w:r>
      <w:r w:rsidR="00162E69" w:rsidRPr="00162E69">
        <w:rPr>
          <w:rFonts w:ascii="Times New Roman" w:eastAsia="Times New Roman" w:hAnsi="Times New Roman" w:cs="Times New Roman"/>
          <w:color w:val="EE0000"/>
          <w:kern w:val="0"/>
          <w:lang w:eastAsia="en-GB"/>
          <w14:ligatures w14:val="none"/>
        </w:rPr>
        <w:t xml:space="preserve"> </w:t>
      </w:r>
    </w:p>
    <w:p w14:paraId="23CA0EC1" w14:textId="40D919C0"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European anchovy Black Sea</w:t>
      </w:r>
      <w:r w:rsidRPr="00056FAB">
        <w:rPr>
          <w:rFonts w:ascii="Times New Roman" w:eastAsia="Times New Roman" w:hAnsi="Times New Roman" w:cs="Times New Roman"/>
          <w:kern w:val="0"/>
          <w:lang w:eastAsia="en-GB"/>
          <w14:ligatures w14:val="none"/>
        </w:rPr>
        <w:t xml:space="preserve"> — modèle bioéconomique age-structuré, points de référence MSY/MEY</w:t>
      </w:r>
      <w:r w:rsidR="00162E69">
        <w:rPr>
          <w:rFonts w:ascii="Times New Roman" w:eastAsia="Times New Roman" w:hAnsi="Times New Roman" w:cs="Times New Roman"/>
          <w:kern w:val="0"/>
          <w:lang w:eastAsia="en-GB"/>
          <w14:ligatures w14:val="none"/>
        </w:rPr>
        <w:t xml:space="preserve"> – </w:t>
      </w:r>
      <w:r w:rsidR="00162E69" w:rsidRPr="00162E69">
        <w:rPr>
          <w:rFonts w:ascii="Times New Roman" w:eastAsia="Times New Roman" w:hAnsi="Times New Roman" w:cs="Times New Roman"/>
          <w:color w:val="EE0000"/>
          <w:kern w:val="0"/>
          <w:lang w:eastAsia="en-GB"/>
          <w14:ligatures w14:val="none"/>
        </w:rPr>
        <w:t>include</w:t>
      </w:r>
      <w:r w:rsidR="00162E69">
        <w:rPr>
          <w:rFonts w:ascii="Times New Roman" w:eastAsia="Times New Roman" w:hAnsi="Times New Roman" w:cs="Times New Roman"/>
          <w:color w:val="EE0000"/>
          <w:kern w:val="0"/>
          <w:lang w:eastAsia="en-GB"/>
          <w14:ligatures w14:val="none"/>
        </w:rPr>
        <w:t xml:space="preserve">, dimension économique et lien avec la gestion. </w:t>
      </w:r>
      <w:r w:rsidR="00162E69" w:rsidRPr="00162E69">
        <w:rPr>
          <w:rFonts w:ascii="Times New Roman" w:eastAsia="Times New Roman" w:hAnsi="Times New Roman" w:cs="Times New Roman"/>
          <w:color w:val="EE0000"/>
          <w:kern w:val="0"/>
          <w:lang w:eastAsia="en-GB"/>
          <w14:ligatures w14:val="none"/>
        </w:rPr>
        <w:t xml:space="preserve"> </w:t>
      </w:r>
    </w:p>
    <w:p w14:paraId="19A4BD89" w14:textId="149C6F6F"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Maximum economic yield, French Guiana shrimp</w:t>
      </w:r>
      <w:r w:rsidRPr="00056FAB">
        <w:rPr>
          <w:rFonts w:ascii="Times New Roman" w:eastAsia="Times New Roman" w:hAnsi="Times New Roman" w:cs="Times New Roman"/>
          <w:kern w:val="0"/>
          <w:lang w:eastAsia="en-GB"/>
          <w14:ligatures w14:val="none"/>
        </w:rPr>
        <w:t xml:space="preserve"> </w:t>
      </w:r>
      <w:r w:rsidR="00162E69">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modèle bioéconomique dynamique, scénarios climatiques RCP</w:t>
      </w:r>
      <w:r w:rsidR="00162E69">
        <w:rPr>
          <w:rFonts w:ascii="Times New Roman" w:eastAsia="Times New Roman" w:hAnsi="Times New Roman" w:cs="Times New Roman"/>
          <w:kern w:val="0"/>
          <w:lang w:eastAsia="en-GB"/>
          <w14:ligatures w14:val="none"/>
        </w:rPr>
        <w:t xml:space="preserve"> - </w:t>
      </w:r>
      <w:r w:rsidR="00162E69" w:rsidRPr="00162E69">
        <w:rPr>
          <w:rFonts w:ascii="Times New Roman" w:eastAsia="Times New Roman" w:hAnsi="Times New Roman" w:cs="Times New Roman"/>
          <w:color w:val="EE0000"/>
          <w:kern w:val="0"/>
          <w:lang w:eastAsia="en-GB"/>
          <w14:ligatures w14:val="none"/>
        </w:rPr>
        <w:t>include</w:t>
      </w:r>
      <w:r w:rsidR="00162E69">
        <w:rPr>
          <w:rFonts w:ascii="Times New Roman" w:eastAsia="Times New Roman" w:hAnsi="Times New Roman" w:cs="Times New Roman"/>
          <w:color w:val="EE0000"/>
          <w:kern w:val="0"/>
          <w:lang w:eastAsia="en-GB"/>
          <w14:ligatures w14:val="none"/>
        </w:rPr>
        <w:t>, dimension économique et lien avec la gestion</w:t>
      </w:r>
    </w:p>
    <w:p w14:paraId="6007E5D1" w14:textId="44F1653F"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color w:val="EE0000"/>
          <w:kern w:val="0"/>
          <w:lang w:eastAsia="en-GB"/>
          <w14:ligatures w14:val="none"/>
        </w:rPr>
      </w:pPr>
      <w:r w:rsidRPr="00056FAB">
        <w:rPr>
          <w:rFonts w:ascii="Times New Roman" w:eastAsia="Times New Roman" w:hAnsi="Times New Roman" w:cs="Times New Roman"/>
          <w:i/>
          <w:iCs/>
          <w:kern w:val="0"/>
          <w:lang w:eastAsia="en-GB"/>
          <w14:ligatures w14:val="none"/>
        </w:rPr>
        <w:t>Bay of Biscay sole</w:t>
      </w:r>
      <w:r w:rsidRPr="00056FAB">
        <w:rPr>
          <w:rFonts w:ascii="Times New Roman" w:eastAsia="Times New Roman" w:hAnsi="Times New Roman" w:cs="Times New Roman"/>
          <w:kern w:val="0"/>
          <w:lang w:eastAsia="en-GB"/>
          <w14:ligatures w14:val="none"/>
        </w:rPr>
        <w:t xml:space="preserve"> — modèle individu-centré bioéconomique, systèmes de quotas ITQ</w:t>
      </w:r>
      <w:r w:rsidR="00162E69">
        <w:rPr>
          <w:rFonts w:ascii="Times New Roman" w:eastAsia="Times New Roman" w:hAnsi="Times New Roman" w:cs="Times New Roman"/>
          <w:kern w:val="0"/>
          <w:lang w:eastAsia="en-GB"/>
          <w14:ligatures w14:val="none"/>
        </w:rPr>
        <w:t xml:space="preserve">. </w:t>
      </w:r>
      <w:r w:rsidR="00162E69" w:rsidRPr="00162E69">
        <w:rPr>
          <w:rFonts w:ascii="Times New Roman" w:eastAsia="Times New Roman" w:hAnsi="Times New Roman" w:cs="Times New Roman"/>
          <w:color w:val="EE0000"/>
          <w:kern w:val="0"/>
          <w:lang w:eastAsia="en-GB"/>
          <w14:ligatures w14:val="none"/>
        </w:rPr>
        <w:t>Lien avec outils de gestion</w:t>
      </w:r>
      <w:r w:rsidR="00162E69">
        <w:rPr>
          <w:rFonts w:ascii="Times New Roman" w:eastAsia="Times New Roman" w:hAnsi="Times New Roman" w:cs="Times New Roman"/>
          <w:color w:val="EE0000"/>
          <w:kern w:val="0"/>
          <w:lang w:eastAsia="en-GB"/>
          <w14:ligatures w14:val="none"/>
        </w:rPr>
        <w:t xml:space="preserve">, aussi méchaniste, surement modèle de méchaniste flotile. Retrouver le nom du modele. </w:t>
      </w:r>
    </w:p>
    <w:p w14:paraId="2A0873D8" w14:textId="546DF749"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Recovering exploited stocks, mixed fisheries</w:t>
      </w:r>
      <w:r w:rsidRPr="00056FAB">
        <w:rPr>
          <w:rFonts w:ascii="Times New Roman" w:eastAsia="Times New Roman" w:hAnsi="Times New Roman" w:cs="Times New Roman"/>
          <w:kern w:val="0"/>
          <w:lang w:eastAsia="en-GB"/>
          <w14:ligatures w14:val="none"/>
        </w:rPr>
        <w:t xml:space="preserve"> — modèle bioéconomique dynamique, mortal</w:t>
      </w:r>
      <w:r w:rsidR="006F6B0E">
        <w:rPr>
          <w:rFonts w:ascii="Times New Roman" w:eastAsia="Times New Roman" w:hAnsi="Times New Roman" w:cs="Times New Roman"/>
          <w:kern w:val="0"/>
          <w:lang w:eastAsia="en-GB"/>
          <w14:ligatures w14:val="none"/>
        </w:rPr>
        <w:t>ité</w:t>
      </w:r>
      <w:r w:rsidRPr="00056FAB">
        <w:rPr>
          <w:rFonts w:ascii="Times New Roman" w:eastAsia="Times New Roman" w:hAnsi="Times New Roman" w:cs="Times New Roman"/>
          <w:kern w:val="0"/>
          <w:lang w:eastAsia="en-GB"/>
          <w14:ligatures w14:val="none"/>
        </w:rPr>
        <w:t xml:space="preserve"> illégale</w:t>
      </w:r>
      <w:r w:rsidR="00162E69">
        <w:rPr>
          <w:rFonts w:ascii="Times New Roman" w:eastAsia="Times New Roman" w:hAnsi="Times New Roman" w:cs="Times New Roman"/>
          <w:kern w:val="0"/>
          <w:lang w:eastAsia="en-GB"/>
          <w14:ligatures w14:val="none"/>
        </w:rPr>
        <w:t xml:space="preserve">. </w:t>
      </w:r>
      <w:r w:rsidR="00162E69">
        <w:rPr>
          <w:rFonts w:ascii="Times New Roman" w:eastAsia="Times New Roman" w:hAnsi="Times New Roman" w:cs="Times New Roman"/>
          <w:color w:val="EE0000"/>
          <w:kern w:val="0"/>
          <w:lang w:eastAsia="en-GB"/>
          <w14:ligatures w14:val="none"/>
        </w:rPr>
        <w:t>I</w:t>
      </w:r>
      <w:r w:rsidR="00162E69" w:rsidRPr="00162E69">
        <w:rPr>
          <w:rFonts w:ascii="Times New Roman" w:eastAsia="Times New Roman" w:hAnsi="Times New Roman" w:cs="Times New Roman"/>
          <w:color w:val="EE0000"/>
          <w:kern w:val="0"/>
          <w:lang w:eastAsia="en-GB"/>
          <w14:ligatures w14:val="none"/>
        </w:rPr>
        <w:t xml:space="preserve">nclure </w:t>
      </w:r>
      <w:r w:rsidR="00162E69">
        <w:rPr>
          <w:rFonts w:ascii="Times New Roman" w:eastAsia="Times New Roman" w:hAnsi="Times New Roman" w:cs="Times New Roman"/>
          <w:color w:val="EE0000"/>
          <w:kern w:val="0"/>
          <w:lang w:eastAsia="en-GB"/>
          <w14:ligatures w14:val="none"/>
        </w:rPr>
        <w:t>- p</w:t>
      </w:r>
      <w:r w:rsidR="00162E69" w:rsidRPr="00162E69">
        <w:rPr>
          <w:rFonts w:ascii="Times New Roman" w:eastAsia="Times New Roman" w:hAnsi="Times New Roman" w:cs="Times New Roman"/>
          <w:color w:val="EE0000"/>
          <w:kern w:val="0"/>
          <w:lang w:eastAsia="en-GB"/>
          <w14:ligatures w14:val="none"/>
        </w:rPr>
        <w:t>lusieurs espèces (mixed fisheries), peut-être IUU fishing</w:t>
      </w:r>
      <w:r w:rsidR="00162E69">
        <w:rPr>
          <w:rFonts w:ascii="Times New Roman" w:eastAsia="Times New Roman" w:hAnsi="Times New Roman" w:cs="Times New Roman"/>
          <w:kern w:val="0"/>
          <w:lang w:eastAsia="en-GB"/>
          <w14:ligatures w14:val="none"/>
        </w:rPr>
        <w:t>.</w:t>
      </w:r>
      <w:r w:rsidR="00162E69" w:rsidRPr="00162E69">
        <w:rPr>
          <w:rFonts w:ascii="Times New Roman" w:eastAsia="Times New Roman" w:hAnsi="Times New Roman" w:cs="Times New Roman"/>
          <w:kern w:val="0"/>
          <w:lang w:eastAsia="en-GB"/>
          <w14:ligatures w14:val="none"/>
        </w:rPr>
        <w:t xml:space="preserve"> </w:t>
      </w:r>
    </w:p>
    <w:p w14:paraId="2150F50B" w14:textId="37519AA5" w:rsidR="00056FAB" w:rsidRPr="00056FAB" w:rsidRDefault="00056FAB" w:rsidP="00056FAB">
      <w:pPr>
        <w:numPr>
          <w:ilvl w:val="0"/>
          <w:numId w:val="12"/>
        </w:numPr>
        <w:spacing w:before="100" w:beforeAutospacing="1" w:after="100" w:afterAutospacing="1"/>
        <w:rPr>
          <w:rFonts w:ascii="Times New Roman" w:eastAsia="Times New Roman" w:hAnsi="Times New Roman" w:cs="Times New Roman"/>
          <w:color w:val="EE0000"/>
          <w:kern w:val="0"/>
          <w:lang w:eastAsia="en-GB"/>
          <w14:ligatures w14:val="none"/>
        </w:rPr>
      </w:pPr>
      <w:r w:rsidRPr="00056FAB">
        <w:rPr>
          <w:rFonts w:ascii="Times New Roman" w:eastAsia="Times New Roman" w:hAnsi="Times New Roman" w:cs="Times New Roman"/>
          <w:i/>
          <w:iCs/>
          <w:kern w:val="0"/>
          <w:lang w:eastAsia="en-GB"/>
          <w14:ligatures w14:val="none"/>
        </w:rPr>
        <w:t>North Sea saithe</w:t>
      </w:r>
      <w:r w:rsidRPr="00056FAB">
        <w:rPr>
          <w:rFonts w:ascii="Times New Roman" w:eastAsia="Times New Roman" w:hAnsi="Times New Roman" w:cs="Times New Roman"/>
          <w:kern w:val="0"/>
          <w:lang w:eastAsia="en-GB"/>
          <w14:ligatures w14:val="none"/>
        </w:rPr>
        <w:t xml:space="preserve"> — modèle bioéconomique, fermetures spatiales</w:t>
      </w:r>
      <w:r w:rsidR="00162E69">
        <w:rPr>
          <w:rFonts w:ascii="Times New Roman" w:eastAsia="Times New Roman" w:hAnsi="Times New Roman" w:cs="Times New Roman"/>
          <w:kern w:val="0"/>
          <w:lang w:eastAsia="en-GB"/>
          <w14:ligatures w14:val="none"/>
        </w:rPr>
        <w:t xml:space="preserve">. </w:t>
      </w:r>
      <w:r w:rsidR="00162E69">
        <w:rPr>
          <w:rFonts w:ascii="Times New Roman" w:eastAsia="Times New Roman" w:hAnsi="Times New Roman" w:cs="Times New Roman"/>
          <w:color w:val="EE0000"/>
          <w:kern w:val="0"/>
          <w:lang w:eastAsia="en-GB"/>
          <w14:ligatures w14:val="none"/>
        </w:rPr>
        <w:t>I</w:t>
      </w:r>
      <w:r w:rsidR="00162E69" w:rsidRPr="00162E69">
        <w:rPr>
          <w:rFonts w:ascii="Times New Roman" w:eastAsia="Times New Roman" w:hAnsi="Times New Roman" w:cs="Times New Roman"/>
          <w:color w:val="EE0000"/>
          <w:kern w:val="0"/>
          <w:lang w:eastAsia="en-GB"/>
          <w14:ligatures w14:val="none"/>
        </w:rPr>
        <w:t>nclure</w:t>
      </w:r>
      <w:r w:rsidR="00162E69">
        <w:rPr>
          <w:rFonts w:ascii="Times New Roman" w:eastAsia="Times New Roman" w:hAnsi="Times New Roman" w:cs="Times New Roman"/>
          <w:color w:val="EE0000"/>
          <w:kern w:val="0"/>
          <w:lang w:eastAsia="en-GB"/>
          <w14:ligatures w14:val="none"/>
        </w:rPr>
        <w:t xml:space="preserve"> -</w:t>
      </w:r>
      <w:r w:rsidR="00162E69" w:rsidRPr="00162E69">
        <w:rPr>
          <w:rFonts w:ascii="Times New Roman" w:eastAsia="Times New Roman" w:hAnsi="Times New Roman" w:cs="Times New Roman"/>
          <w:color w:val="EE0000"/>
          <w:kern w:val="0"/>
          <w:lang w:eastAsia="en-GB"/>
          <w14:ligatures w14:val="none"/>
        </w:rPr>
        <w:t xml:space="preserve"> </w:t>
      </w:r>
      <w:r w:rsidR="00162E69">
        <w:rPr>
          <w:rFonts w:ascii="Times New Roman" w:eastAsia="Times New Roman" w:hAnsi="Times New Roman" w:cs="Times New Roman"/>
          <w:color w:val="EE0000"/>
          <w:kern w:val="0"/>
          <w:lang w:eastAsia="en-GB"/>
          <w14:ligatures w14:val="none"/>
        </w:rPr>
        <w:t>d</w:t>
      </w:r>
      <w:r w:rsidR="00162E69" w:rsidRPr="00162E69">
        <w:rPr>
          <w:rFonts w:ascii="Times New Roman" w:eastAsia="Times New Roman" w:hAnsi="Times New Roman" w:cs="Times New Roman"/>
          <w:color w:val="EE0000"/>
          <w:kern w:val="0"/>
          <w:lang w:eastAsia="en-GB"/>
          <w14:ligatures w14:val="none"/>
        </w:rPr>
        <w:t>imension bio-éco et dimension gestion</w:t>
      </w:r>
      <w:r w:rsidR="00162E69">
        <w:rPr>
          <w:rFonts w:ascii="Times New Roman" w:eastAsia="Times New Roman" w:hAnsi="Times New Roman" w:cs="Times New Roman"/>
          <w:color w:val="EE0000"/>
          <w:kern w:val="0"/>
          <w:lang w:eastAsia="en-GB"/>
          <w14:ligatures w14:val="none"/>
        </w:rPr>
        <w:t xml:space="preserve">. </w:t>
      </w:r>
    </w:p>
    <w:p w14:paraId="39D57D17" w14:textId="2AC8BB97" w:rsidR="00056FAB" w:rsidRDefault="00056FAB" w:rsidP="00056FA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Chesapeake Bay oysters</w:t>
      </w:r>
      <w:r w:rsidRPr="00056FAB">
        <w:rPr>
          <w:rFonts w:ascii="Times New Roman" w:eastAsia="Times New Roman" w:hAnsi="Times New Roman" w:cs="Times New Roman"/>
          <w:kern w:val="0"/>
          <w:lang w:eastAsia="en-GB"/>
          <w14:ligatures w14:val="none"/>
        </w:rPr>
        <w:t xml:space="preserve"> — modèle population-habitat, sanctuaires et restauration</w:t>
      </w:r>
      <w:r w:rsidR="00162E69">
        <w:rPr>
          <w:rFonts w:ascii="Times New Roman" w:eastAsia="Times New Roman" w:hAnsi="Times New Roman" w:cs="Times New Roman"/>
          <w:kern w:val="0"/>
          <w:lang w:eastAsia="en-GB"/>
          <w14:ligatures w14:val="none"/>
        </w:rPr>
        <w:t xml:space="preserve">. </w:t>
      </w:r>
      <w:r w:rsidR="00162E69" w:rsidRPr="00162E69">
        <w:rPr>
          <w:rFonts w:ascii="Times New Roman" w:eastAsia="Times New Roman" w:hAnsi="Times New Roman" w:cs="Times New Roman"/>
          <w:color w:val="EE0000"/>
          <w:kern w:val="0"/>
          <w:lang w:eastAsia="en-GB"/>
          <w14:ligatures w14:val="none"/>
        </w:rPr>
        <w:t xml:space="preserve">SDM ? Dimension gestion à clarifier. </w:t>
      </w:r>
      <w:r w:rsidR="00162E69">
        <w:rPr>
          <w:rFonts w:ascii="Times New Roman" w:eastAsia="Times New Roman" w:hAnsi="Times New Roman" w:cs="Times New Roman"/>
          <w:color w:val="EE0000"/>
          <w:kern w:val="0"/>
          <w:lang w:eastAsia="en-GB"/>
          <w14:ligatures w14:val="none"/>
        </w:rPr>
        <w:t xml:space="preserve">Pas certain du lien avec la gestion, à vérifier. </w:t>
      </w:r>
    </w:p>
    <w:p w14:paraId="0772B6D0" w14:textId="5404233F" w:rsidR="00162E69" w:rsidRPr="00056FAB" w:rsidRDefault="00162E69" w:rsidP="00162E69">
      <w:pPr>
        <w:spacing w:before="100" w:beforeAutospacing="1" w:after="100" w:afterAutospacing="1"/>
        <w:rPr>
          <w:rFonts w:ascii="Times New Roman" w:eastAsia="Times New Roman" w:hAnsi="Times New Roman" w:cs="Times New Roman"/>
          <w:color w:val="002060"/>
          <w:kern w:val="0"/>
          <w:lang w:eastAsia="en-GB"/>
          <w14:ligatures w14:val="none"/>
        </w:rPr>
      </w:pPr>
      <w:r w:rsidRPr="00162E69">
        <w:rPr>
          <w:rFonts w:ascii="Times New Roman" w:eastAsia="Times New Roman" w:hAnsi="Times New Roman" w:cs="Times New Roman"/>
          <w:color w:val="002060"/>
          <w:kern w:val="0"/>
          <w:lang w:eastAsia="en-GB"/>
          <w14:ligatures w14:val="none"/>
        </w:rPr>
        <w:t xml:space="preserve">Modèles bioeconomique peut-être statistique et/ou méchanistique. </w:t>
      </w:r>
    </w:p>
    <w:p w14:paraId="4E2CA9E1"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 faut-il étendre l'exception à tout modèle mono-spécifique utilisé explicitement pour la gestion halieutique ou le design d'AMP, quel que soit le type de modèle ?</w:t>
      </w:r>
    </w:p>
    <w:p w14:paraId="227E045E"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Proposition : oui, en cohérence avec l'esprit de l'exception SDM.</w:t>
      </w:r>
    </w:p>
    <w:p w14:paraId="577A45A4" w14:textId="77777777" w:rsidR="00056FAB" w:rsidRPr="00056FAB" w:rsidRDefault="00EA0D55" w:rsidP="00056F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D98E11C">
          <v:rect id="_x0000_i1027" alt="" style="width:451.3pt;height:.05pt;mso-width-percent:0;mso-height-percent:0;mso-width-percent:0;mso-height-percent:0" o:hralign="center" o:hrstd="t" o:hr="t" fillcolor="#a0a0a0" stroked="f"/>
        </w:pict>
      </w:r>
    </w:p>
    <w:p w14:paraId="08CE86F6"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2 — Deux espèces modélisées indépendamment constituent-elles une étude multi-spécifique ?</w:t>
      </w:r>
    </w:p>
    <w:p w14:paraId="761C51CC"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Certains papiers présentent deux espèces ou plus modélisées séparément, sans dynamique commune, dans le cadre d'une même pêcherie.</w:t>
      </w:r>
    </w:p>
    <w:p w14:paraId="377AF56C"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Papiers concernés :</w:t>
      </w:r>
    </w:p>
    <w:p w14:paraId="032602E2" w14:textId="6E1302D8" w:rsidR="00056FAB" w:rsidRPr="00056FAB" w:rsidRDefault="00056FAB" w:rsidP="00056FAB">
      <w:pPr>
        <w:numPr>
          <w:ilvl w:val="0"/>
          <w:numId w:val="13"/>
        </w:numPr>
        <w:spacing w:before="100" w:beforeAutospacing="1" w:after="100" w:afterAutospacing="1"/>
        <w:rPr>
          <w:rFonts w:ascii="Times New Roman" w:eastAsia="Times New Roman" w:hAnsi="Times New Roman" w:cs="Times New Roman"/>
          <w:color w:val="EE0000"/>
          <w:kern w:val="0"/>
          <w:lang w:eastAsia="en-GB"/>
          <w14:ligatures w14:val="none"/>
        </w:rPr>
      </w:pPr>
      <w:r w:rsidRPr="00056FAB">
        <w:rPr>
          <w:rFonts w:ascii="Times New Roman" w:eastAsia="Times New Roman" w:hAnsi="Times New Roman" w:cs="Times New Roman"/>
          <w:i/>
          <w:iCs/>
          <w:kern w:val="0"/>
          <w:lang w:eastAsia="en-GB"/>
          <w14:ligatures w14:val="none"/>
        </w:rPr>
        <w:t>Risk versus economic performance, Alaskan crabs</w:t>
      </w:r>
      <w:r w:rsidRPr="00056FAB">
        <w:rPr>
          <w:rFonts w:ascii="Times New Roman" w:eastAsia="Times New Roman" w:hAnsi="Times New Roman" w:cs="Times New Roman"/>
          <w:kern w:val="0"/>
          <w:lang w:eastAsia="en-GB"/>
          <w14:ligatures w14:val="none"/>
        </w:rPr>
        <w:t xml:space="preserve"> </w:t>
      </w:r>
      <w:r w:rsidR="003B3040">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deux espèces de crabes modélisées indépendamment, bioéconomie + dynamique de population</w:t>
      </w:r>
      <w:r w:rsidR="003B3040">
        <w:rPr>
          <w:rFonts w:ascii="Times New Roman" w:eastAsia="Times New Roman" w:hAnsi="Times New Roman" w:cs="Times New Roman"/>
          <w:kern w:val="0"/>
          <w:lang w:eastAsia="en-GB"/>
          <w14:ligatures w14:val="none"/>
        </w:rPr>
        <w:t xml:space="preserve">. </w:t>
      </w:r>
      <w:r w:rsidR="003B3040" w:rsidRPr="003B3040">
        <w:rPr>
          <w:rFonts w:ascii="Times New Roman" w:eastAsia="Times New Roman" w:hAnsi="Times New Roman" w:cs="Times New Roman"/>
          <w:color w:val="EE0000"/>
          <w:kern w:val="0"/>
          <w:lang w:eastAsia="en-GB"/>
          <w14:ligatures w14:val="none"/>
        </w:rPr>
        <w:t>Même critère que pour les études monospécifiques</w:t>
      </w:r>
      <w:r w:rsidR="003B3040">
        <w:rPr>
          <w:rFonts w:ascii="Times New Roman" w:eastAsia="Times New Roman" w:hAnsi="Times New Roman" w:cs="Times New Roman"/>
          <w:color w:val="EE0000"/>
          <w:kern w:val="0"/>
          <w:lang w:eastAsia="en-GB"/>
          <w14:ligatures w14:val="none"/>
        </w:rPr>
        <w:t>, lien avec la gestion doit être explicite</w:t>
      </w:r>
      <w:r w:rsidR="003B3040" w:rsidRPr="003B3040">
        <w:rPr>
          <w:rFonts w:ascii="Times New Roman" w:eastAsia="Times New Roman" w:hAnsi="Times New Roman" w:cs="Times New Roman"/>
          <w:color w:val="EE0000"/>
          <w:kern w:val="0"/>
          <w:lang w:eastAsia="en-GB"/>
          <w14:ligatures w14:val="none"/>
        </w:rPr>
        <w:t>.</w:t>
      </w:r>
      <w:r w:rsidR="003B3040">
        <w:rPr>
          <w:rFonts w:ascii="Times New Roman" w:eastAsia="Times New Roman" w:hAnsi="Times New Roman" w:cs="Times New Roman"/>
          <w:color w:val="EE0000"/>
          <w:kern w:val="0"/>
          <w:lang w:eastAsia="en-GB"/>
          <w14:ligatures w14:val="none"/>
        </w:rPr>
        <w:t xml:space="preserve"> Intéractions entre les espèces est un critère implicite – est-ce que ça décris un écosystème: interactions directes ou indirectes. </w:t>
      </w:r>
      <w:r w:rsidR="003B3040" w:rsidRPr="003B3040">
        <w:rPr>
          <w:rFonts w:ascii="Times New Roman" w:eastAsia="Times New Roman" w:hAnsi="Times New Roman" w:cs="Times New Roman"/>
          <w:color w:val="EE0000"/>
          <w:kern w:val="0"/>
          <w:lang w:eastAsia="en-GB"/>
          <w14:ligatures w14:val="none"/>
        </w:rPr>
        <w:t xml:space="preserve"> </w:t>
      </w:r>
    </w:p>
    <w:p w14:paraId="644958FD" w14:textId="01E0630D" w:rsidR="00056FAB" w:rsidRPr="00056FAB" w:rsidRDefault="00056FAB" w:rsidP="00056FA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Recovering exploited stocks</w:t>
      </w:r>
      <w:r w:rsidRPr="00056FAB">
        <w:rPr>
          <w:rFonts w:ascii="Times New Roman" w:eastAsia="Times New Roman" w:hAnsi="Times New Roman" w:cs="Times New Roman"/>
          <w:kern w:val="0"/>
          <w:lang w:eastAsia="en-GB"/>
          <w14:ligatures w14:val="none"/>
        </w:rPr>
        <w:t xml:space="preserve"> </w:t>
      </w:r>
      <w:r w:rsidR="003B3040">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pêcherie mixte deux espèces sans dynamique commune</w:t>
      </w:r>
      <w:r w:rsidR="003B3040">
        <w:rPr>
          <w:rFonts w:ascii="Times New Roman" w:eastAsia="Times New Roman" w:hAnsi="Times New Roman" w:cs="Times New Roman"/>
          <w:kern w:val="0"/>
          <w:lang w:eastAsia="en-GB"/>
          <w14:ligatures w14:val="none"/>
        </w:rPr>
        <w:t xml:space="preserve">. </w:t>
      </w:r>
      <w:r w:rsidR="003B3040" w:rsidRPr="003B3040">
        <w:rPr>
          <w:rFonts w:ascii="Times New Roman" w:eastAsia="Times New Roman" w:hAnsi="Times New Roman" w:cs="Times New Roman"/>
          <w:color w:val="EE0000"/>
          <w:kern w:val="0"/>
          <w:lang w:eastAsia="en-GB"/>
          <w14:ligatures w14:val="none"/>
        </w:rPr>
        <w:t xml:space="preserve">A vérifier si interactions entre les espèces, modélisation écosystème. </w:t>
      </w:r>
    </w:p>
    <w:p w14:paraId="6CE7C74A"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 deux espèces modélisées indépendamment dans une même pêcherie constituent-elles une étude multi-spécifique au sens de nos critères, ou faut-il une dynamique commune entre les espèces ?</w:t>
      </w:r>
    </w:p>
    <w:p w14:paraId="12D54983" w14:textId="3D47F2CB"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lastRenderedPageBreak/>
        <w:t>Proposition : inclure dès lors que le contexte est une pêcherie mixte, même sans dynamique inter-espèces explicite.</w:t>
      </w:r>
      <w:r w:rsidR="001E51DE">
        <w:rPr>
          <w:rFonts w:ascii="Times New Roman" w:eastAsia="Times New Roman" w:hAnsi="Times New Roman" w:cs="Times New Roman"/>
          <w:kern w:val="0"/>
          <w:lang w:eastAsia="en-GB"/>
          <w14:ligatures w14:val="none"/>
        </w:rPr>
        <w:t xml:space="preserve"> </w:t>
      </w:r>
      <w:r w:rsidR="001E51DE" w:rsidRPr="001E51DE">
        <w:rPr>
          <w:rFonts w:ascii="Times New Roman" w:eastAsia="Times New Roman" w:hAnsi="Times New Roman" w:cs="Times New Roman"/>
          <w:color w:val="EE0000"/>
          <w:kern w:val="0"/>
          <w:lang w:eastAsia="en-GB"/>
          <w14:ligatures w14:val="none"/>
        </w:rPr>
        <w:t xml:space="preserve">Il y a d’autres nature d’intéractions entre les espèces, modèles de pecheries multi-spéfiques à inclure. </w:t>
      </w:r>
      <w:r w:rsidR="001E51DE">
        <w:rPr>
          <w:rFonts w:ascii="Times New Roman" w:eastAsia="Times New Roman" w:hAnsi="Times New Roman" w:cs="Times New Roman"/>
          <w:color w:val="EE0000"/>
          <w:kern w:val="0"/>
          <w:lang w:eastAsia="en-GB"/>
          <w14:ligatures w14:val="none"/>
        </w:rPr>
        <w:t>Modèle de pêcherie F3 (Fcube).</w:t>
      </w:r>
    </w:p>
    <w:p w14:paraId="1B71E229" w14:textId="77777777" w:rsidR="00056FAB" w:rsidRPr="00056FAB" w:rsidRDefault="00EA0D55" w:rsidP="00056F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914A560">
          <v:rect id="_x0000_i1026" alt="" style="width:451.3pt;height:.05pt;mso-width-percent:0;mso-height-percent:0;mso-width-percent:0;mso-height-percent:0" o:hralign="center" o:hrstd="t" o:hr="t" fillcolor="#a0a0a0" stroked="f"/>
        </w:pict>
      </w:r>
    </w:p>
    <w:p w14:paraId="7AFE01E1"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3 — Plusieurs espèces d'un même groupe taxonomique satisfont-elles le critère multi-espèces ?</w:t>
      </w:r>
    </w:p>
    <w:p w14:paraId="7D9AFD69"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Certains papiers portent sur plusieurs espèces d'un même groupe fonctionnel ou taxonomique, sans dimension écosystémique plus large.</w:t>
      </w:r>
    </w:p>
    <w:p w14:paraId="3DF89BE8"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Papiers concernés :</w:t>
      </w:r>
    </w:p>
    <w:p w14:paraId="0581E961" w14:textId="639A6893" w:rsidR="00056FAB" w:rsidRPr="00056FAB" w:rsidRDefault="00056FAB" w:rsidP="00056FA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Cephalopods NW Pacific</w:t>
      </w:r>
      <w:r w:rsidRPr="00056FAB">
        <w:rPr>
          <w:rFonts w:ascii="Times New Roman" w:eastAsia="Times New Roman" w:hAnsi="Times New Roman" w:cs="Times New Roman"/>
          <w:kern w:val="0"/>
          <w:lang w:eastAsia="en-GB"/>
          <w14:ligatures w14:val="none"/>
        </w:rPr>
        <w:t xml:space="preserve"> </w:t>
      </w:r>
      <w:r w:rsidR="001E51DE">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SDMs de plusieurs espèces de céphalopodes, refuges climatiques et zones de pêche</w:t>
      </w:r>
      <w:r w:rsidR="001E51DE">
        <w:rPr>
          <w:rFonts w:ascii="Times New Roman" w:eastAsia="Times New Roman" w:hAnsi="Times New Roman" w:cs="Times New Roman"/>
          <w:kern w:val="0"/>
          <w:lang w:eastAsia="en-GB"/>
          <w14:ligatures w14:val="none"/>
        </w:rPr>
        <w:t xml:space="preserve"> – </w:t>
      </w:r>
      <w:r w:rsidR="001E51DE" w:rsidRPr="001E51DE">
        <w:rPr>
          <w:rFonts w:ascii="Times New Roman" w:eastAsia="Times New Roman" w:hAnsi="Times New Roman" w:cs="Times New Roman"/>
          <w:color w:val="EE0000"/>
          <w:kern w:val="0"/>
          <w:lang w:eastAsia="en-GB"/>
          <w14:ligatures w14:val="none"/>
        </w:rPr>
        <w:t xml:space="preserve">si doute, inclure. Surement multispéfique. </w:t>
      </w:r>
    </w:p>
    <w:p w14:paraId="63E2D666" w14:textId="5CDBF20A" w:rsidR="00056FAB" w:rsidRPr="00056FAB" w:rsidRDefault="00056FAB" w:rsidP="00056FAB">
      <w:pPr>
        <w:numPr>
          <w:ilvl w:val="0"/>
          <w:numId w:val="14"/>
        </w:numPr>
        <w:spacing w:before="100" w:beforeAutospacing="1" w:after="100" w:afterAutospacing="1"/>
        <w:rPr>
          <w:rFonts w:ascii="Times New Roman" w:eastAsia="Times New Roman" w:hAnsi="Times New Roman" w:cs="Times New Roman"/>
          <w:color w:val="EE0000"/>
          <w:kern w:val="0"/>
          <w:lang w:eastAsia="en-GB"/>
          <w14:ligatures w14:val="none"/>
        </w:rPr>
      </w:pPr>
      <w:r w:rsidRPr="00056FAB">
        <w:rPr>
          <w:rFonts w:ascii="Times New Roman" w:eastAsia="Times New Roman" w:hAnsi="Times New Roman" w:cs="Times New Roman"/>
          <w:i/>
          <w:iCs/>
          <w:kern w:val="0"/>
          <w:lang w:eastAsia="en-GB"/>
          <w14:ligatures w14:val="none"/>
        </w:rPr>
        <w:t>Australian Northern Prawn Fishery</w:t>
      </w:r>
      <w:r w:rsidRPr="00056FAB">
        <w:rPr>
          <w:rFonts w:ascii="Times New Roman" w:eastAsia="Times New Roman" w:hAnsi="Times New Roman" w:cs="Times New Roman"/>
          <w:kern w:val="0"/>
          <w:lang w:eastAsia="en-GB"/>
          <w14:ligatures w14:val="none"/>
        </w:rPr>
        <w:t xml:space="preserve"> </w:t>
      </w:r>
      <w:r w:rsidR="001E51DE">
        <w:rPr>
          <w:rFonts w:ascii="Times New Roman" w:eastAsia="Times New Roman" w:hAnsi="Times New Roman" w:cs="Times New Roman"/>
          <w:kern w:val="0"/>
          <w:lang w:eastAsia="en-GB"/>
          <w14:ligatures w14:val="none"/>
        </w:rPr>
        <w:t>-</w:t>
      </w:r>
      <w:r w:rsidRPr="00056FAB">
        <w:rPr>
          <w:rFonts w:ascii="Times New Roman" w:eastAsia="Times New Roman" w:hAnsi="Times New Roman" w:cs="Times New Roman"/>
          <w:kern w:val="0"/>
          <w:lang w:eastAsia="en-GB"/>
          <w14:ligatures w14:val="none"/>
        </w:rPr>
        <w:t xml:space="preserve"> modèle bioéconomique stochastique, plusieurs espèces de crevettes</w:t>
      </w:r>
      <w:r w:rsidR="001E51DE">
        <w:rPr>
          <w:rFonts w:ascii="Times New Roman" w:eastAsia="Times New Roman" w:hAnsi="Times New Roman" w:cs="Times New Roman"/>
          <w:kern w:val="0"/>
          <w:lang w:eastAsia="en-GB"/>
          <w14:ligatures w14:val="none"/>
        </w:rPr>
        <w:t xml:space="preserve"> – </w:t>
      </w:r>
      <w:r w:rsidR="001E51DE" w:rsidRPr="001E51DE">
        <w:rPr>
          <w:rFonts w:ascii="Times New Roman" w:eastAsia="Times New Roman" w:hAnsi="Times New Roman" w:cs="Times New Roman"/>
          <w:color w:val="EE0000"/>
          <w:kern w:val="0"/>
          <w:lang w:eastAsia="en-GB"/>
          <w14:ligatures w14:val="none"/>
        </w:rPr>
        <w:t>inclure dans le doute</w:t>
      </w:r>
    </w:p>
    <w:p w14:paraId="1047EEAF" w14:textId="4F954CB7" w:rsidR="00056FAB" w:rsidRPr="00056FAB" w:rsidRDefault="00056FAB" w:rsidP="00056FA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i/>
          <w:iCs/>
          <w:kern w:val="0"/>
          <w:lang w:eastAsia="en-GB"/>
          <w14:ligatures w14:val="none"/>
        </w:rPr>
        <w:t>Northern NSW prawn fisheries</w:t>
      </w:r>
      <w:r w:rsidRPr="00056FAB">
        <w:rPr>
          <w:rFonts w:ascii="Times New Roman" w:eastAsia="Times New Roman" w:hAnsi="Times New Roman" w:cs="Times New Roman"/>
          <w:kern w:val="0"/>
          <w:lang w:eastAsia="en-GB"/>
          <w14:ligatures w14:val="none"/>
        </w:rPr>
        <w:t xml:space="preserve"> — modèle taille-structuré, plusieurs espèces de crevettes</w:t>
      </w:r>
      <w:r w:rsidR="001E51DE">
        <w:rPr>
          <w:rFonts w:ascii="Times New Roman" w:eastAsia="Times New Roman" w:hAnsi="Times New Roman" w:cs="Times New Roman"/>
          <w:kern w:val="0"/>
          <w:lang w:eastAsia="en-GB"/>
          <w14:ligatures w14:val="none"/>
        </w:rPr>
        <w:t xml:space="preserve"> – </w:t>
      </w:r>
      <w:r w:rsidR="001E51DE" w:rsidRPr="001E51DE">
        <w:rPr>
          <w:rFonts w:ascii="Times New Roman" w:eastAsia="Times New Roman" w:hAnsi="Times New Roman" w:cs="Times New Roman"/>
          <w:color w:val="EE0000"/>
          <w:kern w:val="0"/>
          <w:lang w:eastAsia="en-GB"/>
          <w14:ligatures w14:val="none"/>
        </w:rPr>
        <w:t>inclure dans le doute</w:t>
      </w:r>
    </w:p>
    <w:p w14:paraId="329C6B12"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Question : plusieurs espèces d'un même groupe taxonomique sans dimension écosystémique plus large satisfont-elles le critère multi-espèces ?</w:t>
      </w:r>
    </w:p>
    <w:p w14:paraId="35C44D8F"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Proposition : inclure si le lien gestion est explicite et direct, en cohérence avec la règle du doute.</w:t>
      </w:r>
    </w:p>
    <w:p w14:paraId="46E02D62" w14:textId="77777777" w:rsidR="00056FAB" w:rsidRPr="00056FAB" w:rsidRDefault="00EA0D55" w:rsidP="00056F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B329961">
          <v:rect id="_x0000_i1025" alt="" style="width:451.3pt;height:.05pt;mso-width-percent:0;mso-height-percent:0;mso-width-percent:0;mso-height-percent:0" o:hralign="center" o:hrstd="t" o:hr="t" fillcolor="#a0a0a0" stroked="f"/>
        </w:pict>
      </w:r>
    </w:p>
    <w:p w14:paraId="2139D88D" w14:textId="77777777" w:rsidR="00056FAB" w:rsidRP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b/>
          <w:bCs/>
          <w:kern w:val="0"/>
          <w:lang w:eastAsia="en-GB"/>
          <w14:ligatures w14:val="none"/>
        </w:rPr>
        <w:t>NOTE OPÉRATIONNELLE</w:t>
      </w:r>
    </w:p>
    <w:p w14:paraId="43356BCB" w14:textId="77777777" w:rsidR="00056FAB" w:rsidRDefault="00056FAB" w:rsidP="00056FAB">
      <w:pPr>
        <w:spacing w:before="100" w:beforeAutospacing="1" w:after="100" w:afterAutospacing="1"/>
        <w:rPr>
          <w:rFonts w:ascii="Times New Roman" w:eastAsia="Times New Roman" w:hAnsi="Times New Roman" w:cs="Times New Roman"/>
          <w:kern w:val="0"/>
          <w:lang w:eastAsia="en-GB"/>
          <w14:ligatures w14:val="none"/>
        </w:rPr>
      </w:pPr>
      <w:r w:rsidRPr="00056FAB">
        <w:rPr>
          <w:rFonts w:ascii="Times New Roman" w:eastAsia="Times New Roman" w:hAnsi="Times New Roman" w:cs="Times New Roman"/>
          <w:kern w:val="0"/>
          <w:lang w:eastAsia="en-GB"/>
          <w14:ligatures w14:val="none"/>
        </w:rPr>
        <w:t>Les 12 papiers concernés ont été inclus provisoirement sous la règle du doute. Les décisions prises aujourd'hui s'appliqueront rétroactivement lors de la phase de réconciliation.</w:t>
      </w:r>
    </w:p>
    <w:p w14:paraId="4A0FEE81" w14:textId="77777777" w:rsidR="00DF464E" w:rsidRDefault="00DF464E" w:rsidP="00056FAB">
      <w:pPr>
        <w:spacing w:before="100" w:beforeAutospacing="1" w:after="100" w:afterAutospacing="1"/>
        <w:rPr>
          <w:rFonts w:ascii="Times New Roman" w:eastAsia="Times New Roman" w:hAnsi="Times New Roman" w:cs="Times New Roman"/>
          <w:kern w:val="0"/>
          <w:lang w:eastAsia="en-GB"/>
          <w14:ligatures w14:val="none"/>
        </w:rPr>
      </w:pPr>
    </w:p>
    <w:p w14:paraId="3746462D" w14:textId="03AA3E4A" w:rsidR="00DF464E" w:rsidRDefault="00DF464E" w:rsidP="00056FA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Questions Stéphanie:</w:t>
      </w:r>
    </w:p>
    <w:p w14:paraId="543801CF" w14:textId="0059C118" w:rsidR="00DF464E" w:rsidRDefault="00DF464E" w:rsidP="00DF464E">
      <w:pPr>
        <w:pStyle w:val="ListParagraph"/>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Regarder à la ligne 1500. </w:t>
      </w:r>
    </w:p>
    <w:p w14:paraId="14AA69D8" w14:textId="77777777" w:rsidR="00BB7BC1" w:rsidRPr="00DF464E" w:rsidRDefault="00BB7BC1" w:rsidP="00BB7BC1">
      <w:pPr>
        <w:pStyle w:val="ListParagraph"/>
        <w:spacing w:before="100" w:beforeAutospacing="1" w:after="100" w:afterAutospacing="1"/>
        <w:rPr>
          <w:rFonts w:ascii="Times New Roman" w:eastAsia="Times New Roman" w:hAnsi="Times New Roman" w:cs="Times New Roman"/>
          <w:kern w:val="0"/>
          <w:lang w:eastAsia="en-GB"/>
          <w14:ligatures w14:val="none"/>
        </w:rPr>
      </w:pPr>
    </w:p>
    <w:p w14:paraId="138AA34D" w14:textId="77777777" w:rsidR="00D626B6" w:rsidRDefault="00D626B6"/>
    <w:sectPr w:rsidR="00D626B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éophile Mouton" w:date="2026-04-08T11:01:00Z" w:initials="TM">
    <w:p w14:paraId="76AD7734" w14:textId="77777777" w:rsidR="00751C4E" w:rsidRDefault="00751C4E" w:rsidP="00751C4E">
      <w:r>
        <w:rPr>
          <w:rStyle w:val="CommentReference"/>
        </w:rPr>
        <w:annotationRef/>
      </w:r>
      <w:r>
        <w:rPr>
          <w:sz w:val="20"/>
          <w:szCs w:val="20"/>
        </w:rPr>
        <w:t>What about paired publications, should they be treated as independent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D77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5096AC" w16cex:dateUtc="2026-04-08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D7734" w16cid:durableId="3C5096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934"/>
    <w:multiLevelType w:val="multilevel"/>
    <w:tmpl w:val="6B30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7A03"/>
    <w:multiLevelType w:val="multilevel"/>
    <w:tmpl w:val="0AF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33665"/>
    <w:multiLevelType w:val="multilevel"/>
    <w:tmpl w:val="F8B0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1135A"/>
    <w:multiLevelType w:val="multilevel"/>
    <w:tmpl w:val="3CC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A4F30"/>
    <w:multiLevelType w:val="multilevel"/>
    <w:tmpl w:val="552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86229"/>
    <w:multiLevelType w:val="multilevel"/>
    <w:tmpl w:val="152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21D27"/>
    <w:multiLevelType w:val="multilevel"/>
    <w:tmpl w:val="4B52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67DA0"/>
    <w:multiLevelType w:val="multilevel"/>
    <w:tmpl w:val="7CD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B0C69"/>
    <w:multiLevelType w:val="multilevel"/>
    <w:tmpl w:val="9C36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83F51"/>
    <w:multiLevelType w:val="multilevel"/>
    <w:tmpl w:val="9ACC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16076"/>
    <w:multiLevelType w:val="multilevel"/>
    <w:tmpl w:val="AE1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A4E3B"/>
    <w:multiLevelType w:val="multilevel"/>
    <w:tmpl w:val="049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904FA"/>
    <w:multiLevelType w:val="multilevel"/>
    <w:tmpl w:val="3EC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C57FA"/>
    <w:multiLevelType w:val="hybridMultilevel"/>
    <w:tmpl w:val="55C6E7F0"/>
    <w:lvl w:ilvl="0" w:tplc="351CF43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0805384">
    <w:abstractNumId w:val="6"/>
  </w:num>
  <w:num w:numId="2" w16cid:durableId="1890994351">
    <w:abstractNumId w:val="5"/>
  </w:num>
  <w:num w:numId="3" w16cid:durableId="793983690">
    <w:abstractNumId w:val="2"/>
  </w:num>
  <w:num w:numId="4" w16cid:durableId="181473911">
    <w:abstractNumId w:val="9"/>
  </w:num>
  <w:num w:numId="5" w16cid:durableId="1357538565">
    <w:abstractNumId w:val="0"/>
  </w:num>
  <w:num w:numId="6" w16cid:durableId="358896525">
    <w:abstractNumId w:val="13"/>
  </w:num>
  <w:num w:numId="7" w16cid:durableId="785391641">
    <w:abstractNumId w:val="1"/>
  </w:num>
  <w:num w:numId="8" w16cid:durableId="1663122351">
    <w:abstractNumId w:val="3"/>
  </w:num>
  <w:num w:numId="9" w16cid:durableId="2076464296">
    <w:abstractNumId w:val="12"/>
  </w:num>
  <w:num w:numId="10" w16cid:durableId="698967769">
    <w:abstractNumId w:val="11"/>
  </w:num>
  <w:num w:numId="11" w16cid:durableId="1947693702">
    <w:abstractNumId w:val="8"/>
  </w:num>
  <w:num w:numId="12" w16cid:durableId="1819805547">
    <w:abstractNumId w:val="10"/>
  </w:num>
  <w:num w:numId="13" w16cid:durableId="673075013">
    <w:abstractNumId w:val="7"/>
  </w:num>
  <w:num w:numId="14" w16cid:durableId="178114635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éophile Mouton">
    <w15:presenceInfo w15:providerId="Windows Live" w15:userId="a7b022eb941a48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CC"/>
    <w:rsid w:val="000023FE"/>
    <w:rsid w:val="00002C32"/>
    <w:rsid w:val="00015385"/>
    <w:rsid w:val="00021A76"/>
    <w:rsid w:val="00024B38"/>
    <w:rsid w:val="0002563C"/>
    <w:rsid w:val="00034A4C"/>
    <w:rsid w:val="0004090C"/>
    <w:rsid w:val="000418F1"/>
    <w:rsid w:val="000507CE"/>
    <w:rsid w:val="00050F17"/>
    <w:rsid w:val="000527E1"/>
    <w:rsid w:val="00053D02"/>
    <w:rsid w:val="00055454"/>
    <w:rsid w:val="000560F0"/>
    <w:rsid w:val="00056FAB"/>
    <w:rsid w:val="00057152"/>
    <w:rsid w:val="0005793A"/>
    <w:rsid w:val="0006118A"/>
    <w:rsid w:val="00064457"/>
    <w:rsid w:val="0007235D"/>
    <w:rsid w:val="00072B91"/>
    <w:rsid w:val="00076C18"/>
    <w:rsid w:val="0008355E"/>
    <w:rsid w:val="00090C5A"/>
    <w:rsid w:val="000926E0"/>
    <w:rsid w:val="0009488A"/>
    <w:rsid w:val="00097C06"/>
    <w:rsid w:val="000A042E"/>
    <w:rsid w:val="000A4921"/>
    <w:rsid w:val="000A4AD6"/>
    <w:rsid w:val="000A68E6"/>
    <w:rsid w:val="000A6CD1"/>
    <w:rsid w:val="000C0088"/>
    <w:rsid w:val="000C0F5F"/>
    <w:rsid w:val="000C393B"/>
    <w:rsid w:val="000D3B0C"/>
    <w:rsid w:val="000D535D"/>
    <w:rsid w:val="000D74F2"/>
    <w:rsid w:val="000E49AA"/>
    <w:rsid w:val="000E6552"/>
    <w:rsid w:val="000E66CE"/>
    <w:rsid w:val="000F168C"/>
    <w:rsid w:val="000F36D0"/>
    <w:rsid w:val="000F5469"/>
    <w:rsid w:val="000F5BA9"/>
    <w:rsid w:val="000F6D82"/>
    <w:rsid w:val="001003AC"/>
    <w:rsid w:val="00105846"/>
    <w:rsid w:val="00111EEB"/>
    <w:rsid w:val="0011595B"/>
    <w:rsid w:val="0011620B"/>
    <w:rsid w:val="00117351"/>
    <w:rsid w:val="0013477C"/>
    <w:rsid w:val="00135F84"/>
    <w:rsid w:val="00137F4A"/>
    <w:rsid w:val="001424A3"/>
    <w:rsid w:val="001530BA"/>
    <w:rsid w:val="00154BF5"/>
    <w:rsid w:val="001622A5"/>
    <w:rsid w:val="00162E69"/>
    <w:rsid w:val="001630A8"/>
    <w:rsid w:val="00180937"/>
    <w:rsid w:val="00181B8C"/>
    <w:rsid w:val="001831CC"/>
    <w:rsid w:val="001851A0"/>
    <w:rsid w:val="0019066B"/>
    <w:rsid w:val="00194300"/>
    <w:rsid w:val="001944B1"/>
    <w:rsid w:val="0019554F"/>
    <w:rsid w:val="001973BC"/>
    <w:rsid w:val="001A0B55"/>
    <w:rsid w:val="001B292A"/>
    <w:rsid w:val="001B56F6"/>
    <w:rsid w:val="001B5A5A"/>
    <w:rsid w:val="001D0414"/>
    <w:rsid w:val="001D3A89"/>
    <w:rsid w:val="001D7DC5"/>
    <w:rsid w:val="001E51DE"/>
    <w:rsid w:val="001F7C53"/>
    <w:rsid w:val="00201762"/>
    <w:rsid w:val="00202135"/>
    <w:rsid w:val="00204C8D"/>
    <w:rsid w:val="00205902"/>
    <w:rsid w:val="00210D37"/>
    <w:rsid w:val="002210B0"/>
    <w:rsid w:val="00222610"/>
    <w:rsid w:val="00226674"/>
    <w:rsid w:val="002272A8"/>
    <w:rsid w:val="00242013"/>
    <w:rsid w:val="00246DB4"/>
    <w:rsid w:val="00252ED7"/>
    <w:rsid w:val="00255756"/>
    <w:rsid w:val="0025599C"/>
    <w:rsid w:val="00262D8C"/>
    <w:rsid w:val="00262FF9"/>
    <w:rsid w:val="00264939"/>
    <w:rsid w:val="0028016C"/>
    <w:rsid w:val="00284C1E"/>
    <w:rsid w:val="00287EDD"/>
    <w:rsid w:val="00293167"/>
    <w:rsid w:val="00294F2F"/>
    <w:rsid w:val="00297960"/>
    <w:rsid w:val="00297E4E"/>
    <w:rsid w:val="002A1336"/>
    <w:rsid w:val="002A55FA"/>
    <w:rsid w:val="002A67A2"/>
    <w:rsid w:val="002A6C90"/>
    <w:rsid w:val="002A70A4"/>
    <w:rsid w:val="002B3795"/>
    <w:rsid w:val="002B37B2"/>
    <w:rsid w:val="002B4644"/>
    <w:rsid w:val="002B669A"/>
    <w:rsid w:val="002C06AA"/>
    <w:rsid w:val="002C1831"/>
    <w:rsid w:val="002C53FF"/>
    <w:rsid w:val="002D09F3"/>
    <w:rsid w:val="002D4119"/>
    <w:rsid w:val="002D494C"/>
    <w:rsid w:val="002D520A"/>
    <w:rsid w:val="002D77A3"/>
    <w:rsid w:val="002E1BCF"/>
    <w:rsid w:val="002F1484"/>
    <w:rsid w:val="002F3D7B"/>
    <w:rsid w:val="002F3E1E"/>
    <w:rsid w:val="003005F2"/>
    <w:rsid w:val="003072A7"/>
    <w:rsid w:val="003105BA"/>
    <w:rsid w:val="003247E3"/>
    <w:rsid w:val="00326D80"/>
    <w:rsid w:val="00334BCD"/>
    <w:rsid w:val="00335E4E"/>
    <w:rsid w:val="00340F25"/>
    <w:rsid w:val="00341673"/>
    <w:rsid w:val="003426DB"/>
    <w:rsid w:val="00345EF8"/>
    <w:rsid w:val="00347AA6"/>
    <w:rsid w:val="00354146"/>
    <w:rsid w:val="0035570B"/>
    <w:rsid w:val="00356F82"/>
    <w:rsid w:val="003616BE"/>
    <w:rsid w:val="003635A2"/>
    <w:rsid w:val="00365796"/>
    <w:rsid w:val="00365C0E"/>
    <w:rsid w:val="00370D9D"/>
    <w:rsid w:val="0037134C"/>
    <w:rsid w:val="003729B4"/>
    <w:rsid w:val="00376134"/>
    <w:rsid w:val="00376C87"/>
    <w:rsid w:val="00380B3E"/>
    <w:rsid w:val="00385B4D"/>
    <w:rsid w:val="0038743C"/>
    <w:rsid w:val="00391262"/>
    <w:rsid w:val="00394164"/>
    <w:rsid w:val="00397355"/>
    <w:rsid w:val="00397AC6"/>
    <w:rsid w:val="003A208F"/>
    <w:rsid w:val="003A26F6"/>
    <w:rsid w:val="003A7100"/>
    <w:rsid w:val="003B3040"/>
    <w:rsid w:val="003B5D92"/>
    <w:rsid w:val="003B65DB"/>
    <w:rsid w:val="003C0690"/>
    <w:rsid w:val="003C26E8"/>
    <w:rsid w:val="003C5563"/>
    <w:rsid w:val="003C788F"/>
    <w:rsid w:val="003D6B77"/>
    <w:rsid w:val="003D7614"/>
    <w:rsid w:val="003E615F"/>
    <w:rsid w:val="003F17AC"/>
    <w:rsid w:val="003F2504"/>
    <w:rsid w:val="003F6FAA"/>
    <w:rsid w:val="00403F12"/>
    <w:rsid w:val="004078BA"/>
    <w:rsid w:val="00412C02"/>
    <w:rsid w:val="00422BC1"/>
    <w:rsid w:val="00422BE5"/>
    <w:rsid w:val="00427810"/>
    <w:rsid w:val="00427978"/>
    <w:rsid w:val="00432002"/>
    <w:rsid w:val="004326E8"/>
    <w:rsid w:val="00433C49"/>
    <w:rsid w:val="00434CAB"/>
    <w:rsid w:val="00436460"/>
    <w:rsid w:val="00436C44"/>
    <w:rsid w:val="004370FB"/>
    <w:rsid w:val="004372DF"/>
    <w:rsid w:val="00441B9A"/>
    <w:rsid w:val="00452E04"/>
    <w:rsid w:val="00461470"/>
    <w:rsid w:val="004620E3"/>
    <w:rsid w:val="00463FC8"/>
    <w:rsid w:val="00466734"/>
    <w:rsid w:val="00467489"/>
    <w:rsid w:val="00471E0C"/>
    <w:rsid w:val="004748AA"/>
    <w:rsid w:val="00486763"/>
    <w:rsid w:val="004932ED"/>
    <w:rsid w:val="00494BB0"/>
    <w:rsid w:val="00494BE7"/>
    <w:rsid w:val="004A179F"/>
    <w:rsid w:val="004A332C"/>
    <w:rsid w:val="004A3B9C"/>
    <w:rsid w:val="004B1E9B"/>
    <w:rsid w:val="004B3F68"/>
    <w:rsid w:val="004C0320"/>
    <w:rsid w:val="004C16C9"/>
    <w:rsid w:val="004C2973"/>
    <w:rsid w:val="004C348D"/>
    <w:rsid w:val="004E5489"/>
    <w:rsid w:val="004E6ACD"/>
    <w:rsid w:val="004F2135"/>
    <w:rsid w:val="004F2AE4"/>
    <w:rsid w:val="004F709A"/>
    <w:rsid w:val="00504D1D"/>
    <w:rsid w:val="005144B7"/>
    <w:rsid w:val="00517E74"/>
    <w:rsid w:val="005213F4"/>
    <w:rsid w:val="00524741"/>
    <w:rsid w:val="005278B7"/>
    <w:rsid w:val="0053254F"/>
    <w:rsid w:val="005379CB"/>
    <w:rsid w:val="00540246"/>
    <w:rsid w:val="005408B5"/>
    <w:rsid w:val="005419CA"/>
    <w:rsid w:val="00546406"/>
    <w:rsid w:val="00550EF6"/>
    <w:rsid w:val="005602C9"/>
    <w:rsid w:val="00562FAC"/>
    <w:rsid w:val="00567F25"/>
    <w:rsid w:val="00580EEE"/>
    <w:rsid w:val="0058330C"/>
    <w:rsid w:val="0058497A"/>
    <w:rsid w:val="0058649B"/>
    <w:rsid w:val="00586D26"/>
    <w:rsid w:val="00592A1F"/>
    <w:rsid w:val="00596B82"/>
    <w:rsid w:val="005977B5"/>
    <w:rsid w:val="005A01F3"/>
    <w:rsid w:val="005A129F"/>
    <w:rsid w:val="005A458A"/>
    <w:rsid w:val="005D0373"/>
    <w:rsid w:val="005D6F9A"/>
    <w:rsid w:val="005D7C35"/>
    <w:rsid w:val="005E2398"/>
    <w:rsid w:val="005E4190"/>
    <w:rsid w:val="005F4464"/>
    <w:rsid w:val="005F5204"/>
    <w:rsid w:val="006017ED"/>
    <w:rsid w:val="00606864"/>
    <w:rsid w:val="006068BD"/>
    <w:rsid w:val="0060712B"/>
    <w:rsid w:val="00611FBA"/>
    <w:rsid w:val="00620CD2"/>
    <w:rsid w:val="0062113C"/>
    <w:rsid w:val="006252E5"/>
    <w:rsid w:val="006343EA"/>
    <w:rsid w:val="00635625"/>
    <w:rsid w:val="006422F8"/>
    <w:rsid w:val="00643183"/>
    <w:rsid w:val="00651FE8"/>
    <w:rsid w:val="006559DB"/>
    <w:rsid w:val="0065772C"/>
    <w:rsid w:val="0066571E"/>
    <w:rsid w:val="00665B1D"/>
    <w:rsid w:val="00666DEB"/>
    <w:rsid w:val="0067273E"/>
    <w:rsid w:val="006766A8"/>
    <w:rsid w:val="00676935"/>
    <w:rsid w:val="00684E72"/>
    <w:rsid w:val="006864CC"/>
    <w:rsid w:val="00693240"/>
    <w:rsid w:val="00696122"/>
    <w:rsid w:val="00697BDA"/>
    <w:rsid w:val="006A1C94"/>
    <w:rsid w:val="006A33C8"/>
    <w:rsid w:val="006A5839"/>
    <w:rsid w:val="006B0C34"/>
    <w:rsid w:val="006B1917"/>
    <w:rsid w:val="006B3CF2"/>
    <w:rsid w:val="006B4EB4"/>
    <w:rsid w:val="006B6CCE"/>
    <w:rsid w:val="006B7A38"/>
    <w:rsid w:val="006C3E92"/>
    <w:rsid w:val="006C4938"/>
    <w:rsid w:val="006C4C17"/>
    <w:rsid w:val="006D0B81"/>
    <w:rsid w:val="006D6493"/>
    <w:rsid w:val="006D73B2"/>
    <w:rsid w:val="006E0550"/>
    <w:rsid w:val="006E318C"/>
    <w:rsid w:val="006F0E71"/>
    <w:rsid w:val="006F1A7F"/>
    <w:rsid w:val="006F344E"/>
    <w:rsid w:val="006F4498"/>
    <w:rsid w:val="006F6B0E"/>
    <w:rsid w:val="007027AA"/>
    <w:rsid w:val="00705BA8"/>
    <w:rsid w:val="00707EE7"/>
    <w:rsid w:val="00712B30"/>
    <w:rsid w:val="007222BA"/>
    <w:rsid w:val="007329CF"/>
    <w:rsid w:val="007351EC"/>
    <w:rsid w:val="007370A8"/>
    <w:rsid w:val="00745AAD"/>
    <w:rsid w:val="00747CBF"/>
    <w:rsid w:val="00750913"/>
    <w:rsid w:val="00751C4E"/>
    <w:rsid w:val="007525FC"/>
    <w:rsid w:val="00762994"/>
    <w:rsid w:val="00765DDB"/>
    <w:rsid w:val="00766603"/>
    <w:rsid w:val="007719F3"/>
    <w:rsid w:val="00772345"/>
    <w:rsid w:val="00774A81"/>
    <w:rsid w:val="00775D5E"/>
    <w:rsid w:val="00781930"/>
    <w:rsid w:val="00782346"/>
    <w:rsid w:val="007951EE"/>
    <w:rsid w:val="00797B11"/>
    <w:rsid w:val="007A57B1"/>
    <w:rsid w:val="007A5966"/>
    <w:rsid w:val="007B1BCD"/>
    <w:rsid w:val="007B239C"/>
    <w:rsid w:val="007B4C44"/>
    <w:rsid w:val="007C29C0"/>
    <w:rsid w:val="007C5CAD"/>
    <w:rsid w:val="007C6A7E"/>
    <w:rsid w:val="007D037F"/>
    <w:rsid w:val="007D05E8"/>
    <w:rsid w:val="007D1F78"/>
    <w:rsid w:val="007D3E63"/>
    <w:rsid w:val="007D5A20"/>
    <w:rsid w:val="007E1B45"/>
    <w:rsid w:val="007F0DF7"/>
    <w:rsid w:val="007F617E"/>
    <w:rsid w:val="007F7F2D"/>
    <w:rsid w:val="00801803"/>
    <w:rsid w:val="00810995"/>
    <w:rsid w:val="008139B3"/>
    <w:rsid w:val="008203A4"/>
    <w:rsid w:val="00820D2A"/>
    <w:rsid w:val="008219D5"/>
    <w:rsid w:val="00824E38"/>
    <w:rsid w:val="00831412"/>
    <w:rsid w:val="00832472"/>
    <w:rsid w:val="00832602"/>
    <w:rsid w:val="00835C3E"/>
    <w:rsid w:val="00846083"/>
    <w:rsid w:val="0084663F"/>
    <w:rsid w:val="00860B6E"/>
    <w:rsid w:val="008617F7"/>
    <w:rsid w:val="00865F8C"/>
    <w:rsid w:val="00867C4D"/>
    <w:rsid w:val="00881B64"/>
    <w:rsid w:val="00882C90"/>
    <w:rsid w:val="00885584"/>
    <w:rsid w:val="008918DD"/>
    <w:rsid w:val="00894206"/>
    <w:rsid w:val="00896289"/>
    <w:rsid w:val="008A0518"/>
    <w:rsid w:val="008A4370"/>
    <w:rsid w:val="008C04DE"/>
    <w:rsid w:val="008C6AB2"/>
    <w:rsid w:val="008D238A"/>
    <w:rsid w:val="008E1476"/>
    <w:rsid w:val="008E7DC2"/>
    <w:rsid w:val="008F524A"/>
    <w:rsid w:val="008F6B2F"/>
    <w:rsid w:val="008F7F2E"/>
    <w:rsid w:val="009071B7"/>
    <w:rsid w:val="009122E8"/>
    <w:rsid w:val="00914541"/>
    <w:rsid w:val="00917E18"/>
    <w:rsid w:val="009246D3"/>
    <w:rsid w:val="00927C1E"/>
    <w:rsid w:val="00934FA8"/>
    <w:rsid w:val="00935FC4"/>
    <w:rsid w:val="00947890"/>
    <w:rsid w:val="00956456"/>
    <w:rsid w:val="009620AA"/>
    <w:rsid w:val="00966173"/>
    <w:rsid w:val="0096793D"/>
    <w:rsid w:val="009715F6"/>
    <w:rsid w:val="009747D5"/>
    <w:rsid w:val="009814C3"/>
    <w:rsid w:val="00982752"/>
    <w:rsid w:val="0098455A"/>
    <w:rsid w:val="00984BBF"/>
    <w:rsid w:val="00986815"/>
    <w:rsid w:val="0098784E"/>
    <w:rsid w:val="009A306D"/>
    <w:rsid w:val="009B2C04"/>
    <w:rsid w:val="009B3BA2"/>
    <w:rsid w:val="009C1296"/>
    <w:rsid w:val="009D0EB0"/>
    <w:rsid w:val="009E07E9"/>
    <w:rsid w:val="009E0B34"/>
    <w:rsid w:val="009E5E87"/>
    <w:rsid w:val="009E76E7"/>
    <w:rsid w:val="009E7B43"/>
    <w:rsid w:val="009F6FED"/>
    <w:rsid w:val="00A127A5"/>
    <w:rsid w:val="00A16FD2"/>
    <w:rsid w:val="00A22513"/>
    <w:rsid w:val="00A253D1"/>
    <w:rsid w:val="00A278C1"/>
    <w:rsid w:val="00A279E8"/>
    <w:rsid w:val="00A3066A"/>
    <w:rsid w:val="00A3688A"/>
    <w:rsid w:val="00A36BEB"/>
    <w:rsid w:val="00A413D0"/>
    <w:rsid w:val="00A430D1"/>
    <w:rsid w:val="00A44C27"/>
    <w:rsid w:val="00A52691"/>
    <w:rsid w:val="00A607DE"/>
    <w:rsid w:val="00A619EF"/>
    <w:rsid w:val="00A61B99"/>
    <w:rsid w:val="00A61DC5"/>
    <w:rsid w:val="00A66307"/>
    <w:rsid w:val="00A707A6"/>
    <w:rsid w:val="00A72497"/>
    <w:rsid w:val="00A7470B"/>
    <w:rsid w:val="00A7522C"/>
    <w:rsid w:val="00A87946"/>
    <w:rsid w:val="00A87A17"/>
    <w:rsid w:val="00A936D9"/>
    <w:rsid w:val="00A961BD"/>
    <w:rsid w:val="00A9705E"/>
    <w:rsid w:val="00AA225F"/>
    <w:rsid w:val="00AA5DBE"/>
    <w:rsid w:val="00AA6D99"/>
    <w:rsid w:val="00AB04B2"/>
    <w:rsid w:val="00AB1E1E"/>
    <w:rsid w:val="00AB5788"/>
    <w:rsid w:val="00AC04A7"/>
    <w:rsid w:val="00AC25D3"/>
    <w:rsid w:val="00AC497A"/>
    <w:rsid w:val="00AD2145"/>
    <w:rsid w:val="00AE3389"/>
    <w:rsid w:val="00AE4166"/>
    <w:rsid w:val="00AE553C"/>
    <w:rsid w:val="00AE5DFF"/>
    <w:rsid w:val="00AE7485"/>
    <w:rsid w:val="00AE7936"/>
    <w:rsid w:val="00B01755"/>
    <w:rsid w:val="00B040EA"/>
    <w:rsid w:val="00B067A3"/>
    <w:rsid w:val="00B110D1"/>
    <w:rsid w:val="00B14E36"/>
    <w:rsid w:val="00B17600"/>
    <w:rsid w:val="00B17B7D"/>
    <w:rsid w:val="00B31399"/>
    <w:rsid w:val="00B33FD3"/>
    <w:rsid w:val="00B34F23"/>
    <w:rsid w:val="00B35066"/>
    <w:rsid w:val="00B46793"/>
    <w:rsid w:val="00B53423"/>
    <w:rsid w:val="00B537D3"/>
    <w:rsid w:val="00B5727D"/>
    <w:rsid w:val="00B612D5"/>
    <w:rsid w:val="00B7175E"/>
    <w:rsid w:val="00B76E10"/>
    <w:rsid w:val="00B8549A"/>
    <w:rsid w:val="00B85C39"/>
    <w:rsid w:val="00B93BC8"/>
    <w:rsid w:val="00BA01B7"/>
    <w:rsid w:val="00BA42F8"/>
    <w:rsid w:val="00BA56C6"/>
    <w:rsid w:val="00BB0610"/>
    <w:rsid w:val="00BB3558"/>
    <w:rsid w:val="00BB4AB5"/>
    <w:rsid w:val="00BB7BC1"/>
    <w:rsid w:val="00BC0737"/>
    <w:rsid w:val="00BD320A"/>
    <w:rsid w:val="00BD41A7"/>
    <w:rsid w:val="00BD7D94"/>
    <w:rsid w:val="00BE2CA3"/>
    <w:rsid w:val="00BE62AE"/>
    <w:rsid w:val="00BE63D6"/>
    <w:rsid w:val="00BF0639"/>
    <w:rsid w:val="00BF0A68"/>
    <w:rsid w:val="00BF0F6F"/>
    <w:rsid w:val="00BF133D"/>
    <w:rsid w:val="00BF32A8"/>
    <w:rsid w:val="00BF6D28"/>
    <w:rsid w:val="00BF767D"/>
    <w:rsid w:val="00C072B0"/>
    <w:rsid w:val="00C116BB"/>
    <w:rsid w:val="00C2559E"/>
    <w:rsid w:val="00C27FFA"/>
    <w:rsid w:val="00C305E6"/>
    <w:rsid w:val="00C3326F"/>
    <w:rsid w:val="00C33FB8"/>
    <w:rsid w:val="00C440D6"/>
    <w:rsid w:val="00C44C81"/>
    <w:rsid w:val="00C4563B"/>
    <w:rsid w:val="00C5284D"/>
    <w:rsid w:val="00C545DB"/>
    <w:rsid w:val="00C55138"/>
    <w:rsid w:val="00C60184"/>
    <w:rsid w:val="00C62E9C"/>
    <w:rsid w:val="00C6369F"/>
    <w:rsid w:val="00C63EF3"/>
    <w:rsid w:val="00C646D9"/>
    <w:rsid w:val="00C64DFD"/>
    <w:rsid w:val="00C67656"/>
    <w:rsid w:val="00C73DD4"/>
    <w:rsid w:val="00C751B3"/>
    <w:rsid w:val="00C7547E"/>
    <w:rsid w:val="00C755C2"/>
    <w:rsid w:val="00C80B8B"/>
    <w:rsid w:val="00C855ED"/>
    <w:rsid w:val="00C86CD7"/>
    <w:rsid w:val="00C92A33"/>
    <w:rsid w:val="00C92C0E"/>
    <w:rsid w:val="00CA2B9D"/>
    <w:rsid w:val="00CA6494"/>
    <w:rsid w:val="00CB4FFD"/>
    <w:rsid w:val="00CB649E"/>
    <w:rsid w:val="00CB68D9"/>
    <w:rsid w:val="00CB7E24"/>
    <w:rsid w:val="00CC2D84"/>
    <w:rsid w:val="00CC5550"/>
    <w:rsid w:val="00CC7B13"/>
    <w:rsid w:val="00CD069C"/>
    <w:rsid w:val="00CD1677"/>
    <w:rsid w:val="00CD37C7"/>
    <w:rsid w:val="00CF1E98"/>
    <w:rsid w:val="00D04B7D"/>
    <w:rsid w:val="00D142E2"/>
    <w:rsid w:val="00D1559A"/>
    <w:rsid w:val="00D200B4"/>
    <w:rsid w:val="00D20C55"/>
    <w:rsid w:val="00D278CA"/>
    <w:rsid w:val="00D32D25"/>
    <w:rsid w:val="00D32E37"/>
    <w:rsid w:val="00D33935"/>
    <w:rsid w:val="00D358B0"/>
    <w:rsid w:val="00D41F13"/>
    <w:rsid w:val="00D45980"/>
    <w:rsid w:val="00D46F83"/>
    <w:rsid w:val="00D51B27"/>
    <w:rsid w:val="00D53879"/>
    <w:rsid w:val="00D56AA1"/>
    <w:rsid w:val="00D57903"/>
    <w:rsid w:val="00D60621"/>
    <w:rsid w:val="00D616F7"/>
    <w:rsid w:val="00D61D71"/>
    <w:rsid w:val="00D626B6"/>
    <w:rsid w:val="00D62FA0"/>
    <w:rsid w:val="00D67463"/>
    <w:rsid w:val="00D82FF5"/>
    <w:rsid w:val="00D939DE"/>
    <w:rsid w:val="00D949F3"/>
    <w:rsid w:val="00D94C4E"/>
    <w:rsid w:val="00D97885"/>
    <w:rsid w:val="00D979E9"/>
    <w:rsid w:val="00DA1E2E"/>
    <w:rsid w:val="00DA2241"/>
    <w:rsid w:val="00DA4697"/>
    <w:rsid w:val="00DA6BA4"/>
    <w:rsid w:val="00DB2904"/>
    <w:rsid w:val="00DB39CE"/>
    <w:rsid w:val="00DC1AFF"/>
    <w:rsid w:val="00DC4BB8"/>
    <w:rsid w:val="00DC6948"/>
    <w:rsid w:val="00DD4E15"/>
    <w:rsid w:val="00DD776C"/>
    <w:rsid w:val="00DE4A00"/>
    <w:rsid w:val="00DE6306"/>
    <w:rsid w:val="00DF1253"/>
    <w:rsid w:val="00DF2702"/>
    <w:rsid w:val="00DF464E"/>
    <w:rsid w:val="00DF7357"/>
    <w:rsid w:val="00E026F4"/>
    <w:rsid w:val="00E03C9E"/>
    <w:rsid w:val="00E04D8E"/>
    <w:rsid w:val="00E06A71"/>
    <w:rsid w:val="00E106D2"/>
    <w:rsid w:val="00E10A07"/>
    <w:rsid w:val="00E11C0B"/>
    <w:rsid w:val="00E20778"/>
    <w:rsid w:val="00E278F3"/>
    <w:rsid w:val="00E31DEC"/>
    <w:rsid w:val="00E37C36"/>
    <w:rsid w:val="00E546CB"/>
    <w:rsid w:val="00E624B0"/>
    <w:rsid w:val="00E6612E"/>
    <w:rsid w:val="00E765CD"/>
    <w:rsid w:val="00E8159A"/>
    <w:rsid w:val="00E82D4B"/>
    <w:rsid w:val="00E866D9"/>
    <w:rsid w:val="00E90FE3"/>
    <w:rsid w:val="00E97D7D"/>
    <w:rsid w:val="00EA0D55"/>
    <w:rsid w:val="00EA1525"/>
    <w:rsid w:val="00EB0307"/>
    <w:rsid w:val="00EB3841"/>
    <w:rsid w:val="00EB3BE2"/>
    <w:rsid w:val="00EC0E41"/>
    <w:rsid w:val="00EC5393"/>
    <w:rsid w:val="00ED51C3"/>
    <w:rsid w:val="00EE03DC"/>
    <w:rsid w:val="00EE36C8"/>
    <w:rsid w:val="00EE42A7"/>
    <w:rsid w:val="00EE606A"/>
    <w:rsid w:val="00EE6A2B"/>
    <w:rsid w:val="00EE6B7C"/>
    <w:rsid w:val="00EF2BB8"/>
    <w:rsid w:val="00EF36D7"/>
    <w:rsid w:val="00F07238"/>
    <w:rsid w:val="00F07F20"/>
    <w:rsid w:val="00F1017E"/>
    <w:rsid w:val="00F122DA"/>
    <w:rsid w:val="00F143C7"/>
    <w:rsid w:val="00F175C4"/>
    <w:rsid w:val="00F20C10"/>
    <w:rsid w:val="00F21723"/>
    <w:rsid w:val="00F22E30"/>
    <w:rsid w:val="00F304E9"/>
    <w:rsid w:val="00F306C7"/>
    <w:rsid w:val="00F3588C"/>
    <w:rsid w:val="00F37328"/>
    <w:rsid w:val="00F422B5"/>
    <w:rsid w:val="00F50348"/>
    <w:rsid w:val="00F560F2"/>
    <w:rsid w:val="00F56722"/>
    <w:rsid w:val="00F57336"/>
    <w:rsid w:val="00F612A4"/>
    <w:rsid w:val="00F62565"/>
    <w:rsid w:val="00F64150"/>
    <w:rsid w:val="00F67620"/>
    <w:rsid w:val="00F77F28"/>
    <w:rsid w:val="00F83D52"/>
    <w:rsid w:val="00F924A6"/>
    <w:rsid w:val="00F94F6D"/>
    <w:rsid w:val="00F965B2"/>
    <w:rsid w:val="00F97FB8"/>
    <w:rsid w:val="00FA3FD4"/>
    <w:rsid w:val="00FB2F99"/>
    <w:rsid w:val="00FB5E20"/>
    <w:rsid w:val="00FC2026"/>
    <w:rsid w:val="00FC2938"/>
    <w:rsid w:val="00FC5F14"/>
    <w:rsid w:val="00FC75FC"/>
    <w:rsid w:val="00FD1B53"/>
    <w:rsid w:val="00FD7E05"/>
    <w:rsid w:val="00FE4072"/>
    <w:rsid w:val="00FE50F2"/>
    <w:rsid w:val="00FE5178"/>
    <w:rsid w:val="00FE7273"/>
    <w:rsid w:val="00FF0A95"/>
    <w:rsid w:val="00FF1284"/>
    <w:rsid w:val="00FF2822"/>
    <w:rsid w:val="00FF4BB0"/>
    <w:rsid w:val="00FF767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DD446B7"/>
  <w15:chartTrackingRefBased/>
  <w15:docId w15:val="{460129E0-BD7C-934F-A01D-9E3481CD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4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4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4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4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4CC"/>
    <w:rPr>
      <w:rFonts w:eastAsiaTheme="majorEastAsia" w:cstheme="majorBidi"/>
      <w:color w:val="272727" w:themeColor="text1" w:themeTint="D8"/>
    </w:rPr>
  </w:style>
  <w:style w:type="paragraph" w:styleId="Title">
    <w:name w:val="Title"/>
    <w:basedOn w:val="Normal"/>
    <w:next w:val="Normal"/>
    <w:link w:val="TitleChar"/>
    <w:uiPriority w:val="10"/>
    <w:qFormat/>
    <w:rsid w:val="006864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4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4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4CC"/>
    <w:rPr>
      <w:i/>
      <w:iCs/>
      <w:color w:val="404040" w:themeColor="text1" w:themeTint="BF"/>
    </w:rPr>
  </w:style>
  <w:style w:type="paragraph" w:styleId="ListParagraph">
    <w:name w:val="List Paragraph"/>
    <w:basedOn w:val="Normal"/>
    <w:uiPriority w:val="34"/>
    <w:qFormat/>
    <w:rsid w:val="006864CC"/>
    <w:pPr>
      <w:ind w:left="720"/>
      <w:contextualSpacing/>
    </w:pPr>
  </w:style>
  <w:style w:type="character" w:styleId="IntenseEmphasis">
    <w:name w:val="Intense Emphasis"/>
    <w:basedOn w:val="DefaultParagraphFont"/>
    <w:uiPriority w:val="21"/>
    <w:qFormat/>
    <w:rsid w:val="006864CC"/>
    <w:rPr>
      <w:i/>
      <w:iCs/>
      <w:color w:val="2F5496" w:themeColor="accent1" w:themeShade="BF"/>
    </w:rPr>
  </w:style>
  <w:style w:type="paragraph" w:styleId="IntenseQuote">
    <w:name w:val="Intense Quote"/>
    <w:basedOn w:val="Normal"/>
    <w:next w:val="Normal"/>
    <w:link w:val="IntenseQuoteChar"/>
    <w:uiPriority w:val="30"/>
    <w:qFormat/>
    <w:rsid w:val="00686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4CC"/>
    <w:rPr>
      <w:i/>
      <w:iCs/>
      <w:color w:val="2F5496" w:themeColor="accent1" w:themeShade="BF"/>
    </w:rPr>
  </w:style>
  <w:style w:type="character" w:styleId="IntenseReference">
    <w:name w:val="Intense Reference"/>
    <w:basedOn w:val="DefaultParagraphFont"/>
    <w:uiPriority w:val="32"/>
    <w:qFormat/>
    <w:rsid w:val="006864CC"/>
    <w:rPr>
      <w:b/>
      <w:bCs/>
      <w:smallCaps/>
      <w:color w:val="2F5496" w:themeColor="accent1" w:themeShade="BF"/>
      <w:spacing w:val="5"/>
    </w:rPr>
  </w:style>
  <w:style w:type="paragraph" w:customStyle="1" w:styleId="font-claude-response-body">
    <w:name w:val="font-claude-response-body"/>
    <w:basedOn w:val="Normal"/>
    <w:rsid w:val="006864C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64CC"/>
    <w:rPr>
      <w:b/>
      <w:bCs/>
    </w:rPr>
  </w:style>
  <w:style w:type="paragraph" w:customStyle="1" w:styleId="whitespace-normal">
    <w:name w:val="whitespace-normal"/>
    <w:basedOn w:val="Normal"/>
    <w:rsid w:val="006864C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864C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751C4E"/>
    <w:rPr>
      <w:sz w:val="16"/>
      <w:szCs w:val="16"/>
    </w:rPr>
  </w:style>
  <w:style w:type="paragraph" w:styleId="CommentText">
    <w:name w:val="annotation text"/>
    <w:basedOn w:val="Normal"/>
    <w:link w:val="CommentTextChar"/>
    <w:uiPriority w:val="99"/>
    <w:semiHidden/>
    <w:unhideWhenUsed/>
    <w:rsid w:val="00751C4E"/>
    <w:rPr>
      <w:sz w:val="20"/>
      <w:szCs w:val="20"/>
    </w:rPr>
  </w:style>
  <w:style w:type="character" w:customStyle="1" w:styleId="CommentTextChar">
    <w:name w:val="Comment Text Char"/>
    <w:basedOn w:val="DefaultParagraphFont"/>
    <w:link w:val="CommentText"/>
    <w:uiPriority w:val="99"/>
    <w:semiHidden/>
    <w:rsid w:val="00751C4E"/>
    <w:rPr>
      <w:sz w:val="20"/>
      <w:szCs w:val="20"/>
    </w:rPr>
  </w:style>
  <w:style w:type="paragraph" w:styleId="CommentSubject">
    <w:name w:val="annotation subject"/>
    <w:basedOn w:val="CommentText"/>
    <w:next w:val="CommentText"/>
    <w:link w:val="CommentSubjectChar"/>
    <w:uiPriority w:val="99"/>
    <w:semiHidden/>
    <w:unhideWhenUsed/>
    <w:rsid w:val="00751C4E"/>
    <w:rPr>
      <w:b/>
      <w:bCs/>
    </w:rPr>
  </w:style>
  <w:style w:type="character" w:customStyle="1" w:styleId="CommentSubjectChar">
    <w:name w:val="Comment Subject Char"/>
    <w:basedOn w:val="CommentTextChar"/>
    <w:link w:val="CommentSubject"/>
    <w:uiPriority w:val="99"/>
    <w:semiHidden/>
    <w:rsid w:val="00751C4E"/>
    <w:rPr>
      <w:b/>
      <w:bCs/>
      <w:sz w:val="20"/>
      <w:szCs w:val="20"/>
    </w:rPr>
  </w:style>
  <w:style w:type="character" w:styleId="Hyperlink">
    <w:name w:val="Hyperlink"/>
    <w:basedOn w:val="DefaultParagraphFont"/>
    <w:uiPriority w:val="99"/>
    <w:unhideWhenUsed/>
    <w:rsid w:val="002D4119"/>
    <w:rPr>
      <w:color w:val="0563C1" w:themeColor="hyperlink"/>
      <w:u w:val="single"/>
    </w:rPr>
  </w:style>
  <w:style w:type="character" w:styleId="UnresolvedMention">
    <w:name w:val="Unresolved Mention"/>
    <w:basedOn w:val="DefaultParagraphFont"/>
    <w:uiPriority w:val="99"/>
    <w:semiHidden/>
    <w:unhideWhenUsed/>
    <w:rsid w:val="002D4119"/>
    <w:rPr>
      <w:color w:val="605E5C"/>
      <w:shd w:val="clear" w:color="auto" w:fill="E1DFDD"/>
    </w:rPr>
  </w:style>
  <w:style w:type="character" w:styleId="Emphasis">
    <w:name w:val="Emphasis"/>
    <w:basedOn w:val="DefaultParagraphFont"/>
    <w:uiPriority w:val="20"/>
    <w:qFormat/>
    <w:rsid w:val="00BD41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4</Pages>
  <Words>1142</Words>
  <Characters>6707</Characters>
  <Application>Microsoft Office Word</Application>
  <DocSecurity>0</DocSecurity>
  <Lines>191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Théophile Mouton</cp:lastModifiedBy>
  <cp:revision>69</cp:revision>
  <dcterms:created xsi:type="dcterms:W3CDTF">2026-04-01T14:03:00Z</dcterms:created>
  <dcterms:modified xsi:type="dcterms:W3CDTF">2026-05-23T17:31:00Z</dcterms:modified>
</cp:coreProperties>
</file>