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27"/>
        <w:pBdr/>
        <w:spacing/>
        <w:ind/>
        <w:rPr/>
      </w:pPr>
      <w:r>
        <w:t xml:space="preserve">Scoping review BRIDGES</w:t>
      </w:r>
      <w:r/>
    </w:p>
    <w:p>
      <w:pPr>
        <w:pBdr/>
        <w:spacing w:after="240"/>
        <w:ind/>
        <w:rPr/>
      </w:pPr>
      <w:r>
        <w:rPr>
          <w:color w:val="555555"/>
          <w:sz w:val="26"/>
          <w:szCs w:val="26"/>
        </w:rPr>
        <w:t xml:space="preserve">Critères d'inclusion et d'exclusion des abstracts</w:t>
      </w:r>
      <w:r/>
    </w:p>
    <w:p>
      <w:pPr>
        <w:pStyle w:val="728"/>
        <w:pBdr/>
        <w:spacing/>
        <w:ind/>
        <w:rPr/>
      </w:pPr>
      <w:r>
        <w:t xml:space="preserve">Critères d'inclusion</w:t>
      </w:r>
      <w:r/>
    </w:p>
    <w:p>
      <w:pPr>
        <w:pBdr/>
        <w:spacing w:after="120"/>
        <w:ind/>
        <w:rPr/>
      </w:pPr>
      <w:r>
        <w:rPr>
          <w:i/>
          <w:iCs/>
        </w:rPr>
        <w:t xml:space="preserve">Tous les critères doivent être remplis.</w:t>
      </w:r>
      <w:r/>
    </w:p>
    <w:p>
      <w:pPr>
        <w:pStyle w:val="719"/>
        <w:numPr>
          <w:ilvl w:val="0"/>
          <w:numId w:val="2"/>
        </w:numPr>
        <w:pBdr/>
        <w:spacing w:after="120"/>
        <w:ind/>
        <w:rPr/>
      </w:pPr>
      <w:r>
        <w:rPr>
          <w:b/>
          <w:bCs/>
        </w:rPr>
        <w:t xml:space="preserve">Système. </w:t>
      </w:r>
      <w:r>
        <w:t xml:space="preserve">Marin, côtier </w:t>
      </w:r>
      <w:r>
        <w:t xml:space="preserve">ou estuarien, constituant un socio-écosystème incluant des usages humains dont la pêche. Les systèmes terrestres et dulçaquicoles sont exclus. Les systèmes à la frontière terrestre-marine (par exemple Everglades vers Florida Bay) sont conservés à ce stade.</w:t>
      </w:r>
      <w:r/>
    </w:p>
    <w:p>
      <w:pPr>
        <w:pStyle w:val="719"/>
        <w:numPr>
          <w:ilvl w:val="0"/>
          <w:numId w:val="2"/>
        </w:numPr>
        <w:pBdr/>
        <w:spacing w:after="120"/>
        <w:ind/>
        <w:rPr/>
      </w:pPr>
      <w:r>
        <w:rPr>
          <w:b/>
          <w:bCs/>
        </w:rPr>
        <w:t xml:space="preserve">Modèle. </w:t>
      </w:r>
      <w:r>
        <w:t xml:space="preserve">L'article présente, développe ou applique un modèle au sens large : mécanistique, statistique, hybride, qualitatif, participatif ou conceptuel. Le modèle doit aller au-delà de la statistique descriptive.</w:t>
      </w:r>
      <w:r/>
    </w:p>
    <w:p>
      <w:pPr>
        <w:pStyle w:val="719"/>
        <w:numPr>
          <w:ilvl w:val="0"/>
          <w:numId w:val="3"/>
        </w:numPr>
        <w:pBdr/>
        <w:spacing w:after="60"/>
        <w:ind/>
        <w:rPr/>
      </w:pPr>
      <w:r>
        <w:t xml:space="preserve">Modèles mécanistiques : inclus dès lors qu'ils ont une utilité ou application potentielle pour la gestion, même indirecte.</w:t>
      </w:r>
      <w:r/>
    </w:p>
    <w:p>
      <w:pPr>
        <w:pStyle w:val="719"/>
        <w:numPr>
          <w:ilvl w:val="0"/>
          <w:numId w:val="3"/>
        </w:numPr>
        <w:pBdr/>
        <w:spacing w:after="60"/>
        <w:ind/>
        <w:rPr/>
      </w:pPr>
      <w:r>
        <w:t xml:space="preserve">Modèles statistiques : inclus uniquement si le lien avec la gestion est explicite, c'est-à-dire directement testé.</w:t>
      </w:r>
      <w:r/>
    </w:p>
    <w:p>
      <w:pPr>
        <w:pStyle w:val="719"/>
        <w:numPr>
          <w:ilvl w:val="0"/>
          <w:numId w:val="3"/>
        </w:numPr>
        <w:pBdr/>
        <w:spacing w:after="60"/>
        <w:ind/>
        <w:rPr/>
      </w:pPr>
      <w:r>
        <w:t xml:space="preserve">Modèles physiques ou environnementaux : inclus uniquement si l'application a une implication écologique directe (par exemple le déplacement de masses d'eau dans un lagon).</w:t>
      </w:r>
      <w:r/>
    </w:p>
    <w:p>
      <w:pPr>
        <w:pStyle w:val="719"/>
        <w:numPr>
          <w:ilvl w:val="0"/>
          <w:numId w:val="3"/>
        </w:numPr>
        <w:pBdr/>
        <w:spacing w:after="60"/>
        <w:ind/>
        <w:rPr/>
      </w:pPr>
      <w:r>
        <w:t xml:space="preserve">Modèles qualitatifs et participatifs : conservés à ce stade ; critères de filtrage à préciser en phase full text.</w:t>
      </w:r>
      <w:r/>
    </w:p>
    <w:p>
      <w:pPr>
        <w:pStyle w:val="719"/>
        <w:numPr>
          <w:ilvl w:val="0"/>
          <w:numId w:val="2"/>
        </w:numPr>
        <w:pBdr/>
        <w:spacing w:after="120"/>
        <w:ind/>
        <w:rPr/>
      </w:pPr>
      <w:r>
        <w:rPr>
          <w:b/>
          <w:bCs/>
        </w:rPr>
        <w:t xml:space="preserve">Lien gestion. </w:t>
      </w:r>
      <w:r>
        <w:t xml:space="preserve">Lien explicite ou implicite avec l'aide à la décision, la gestion spatiale, la planification de la conservation, l'évaluation de scénarios ou la gestion des pêcheries.</w:t>
      </w:r>
      <w:r/>
    </w:p>
    <w:p>
      <w:pPr>
        <w:pStyle w:val="719"/>
        <w:numPr>
          <w:ilvl w:val="0"/>
          <w:numId w:val="2"/>
        </w:numPr>
        <w:pBdr/>
        <w:spacing w:after="120"/>
        <w:ind/>
        <w:rPr/>
      </w:pPr>
      <w:r>
        <w:rPr>
          <w:b/>
          <w:bCs/>
        </w:rPr>
        <w:t xml:space="preserve">Multi-espèces ou écosystémique. </w:t>
      </w:r>
      <w:r>
        <w:t xml:space="preserve">Le critère est rempli dans l'un des cas suivants :</w:t>
      </w:r>
      <w:r/>
    </w:p>
    <w:p>
      <w:pPr>
        <w:pStyle w:val="719"/>
        <w:numPr>
          <w:ilvl w:val="0"/>
          <w:numId w:val="3"/>
        </w:numPr>
        <w:pBdr/>
        <w:spacing w:after="60"/>
        <w:ind/>
        <w:rPr/>
      </w:pPr>
      <w:r>
        <w:t xml:space="preserve">Étude portant sur plusieurs espèces en interaction ou sur un assemblage écosystémique.</w:t>
      </w:r>
      <w:r/>
    </w:p>
    <w:p>
      <w:pPr>
        <w:pStyle w:val="719"/>
        <w:numPr>
          <w:ilvl w:val="0"/>
          <w:numId w:val="3"/>
        </w:numPr>
        <w:pBdr/>
        <w:spacing w:after="60"/>
        <w:ind/>
        <w:rPr/>
      </w:pPr>
      <w:r>
        <w:t xml:space="preserve">Pêcherie mixte modélisant plu</w:t>
      </w:r>
      <w:r>
        <w:t xml:space="preserve">sieurs espèces, y compris lorsque les espèces sont modélisées indépendamment et sans dynamique inter-espèces explicite (les interactions peuvent être d'une autre nature : technique, économique, exploitation partagée ; par exemple modèle de pêcherie Fcube).</w:t>
      </w:r>
      <w:r/>
    </w:p>
    <w:p>
      <w:pPr>
        <w:pStyle w:val="719"/>
        <w:numPr>
          <w:ilvl w:val="0"/>
          <w:numId w:val="3"/>
        </w:numPr>
        <w:pBdr/>
        <w:spacing w:after="60"/>
        <w:ind/>
        <w:rPr/>
      </w:pPr>
      <w:r>
        <w:t xml:space="preserve">Plusieurs espèces d'un même groupe taxonomique ou fonctionnel, à condition que le lien gestion soit explicite et direct.</w:t>
      </w:r>
      <w:r/>
    </w:p>
    <w:p>
      <w:pPr>
        <w:pStyle w:val="719"/>
        <w:numPr>
          <w:ilvl w:val="0"/>
          <w:numId w:val="3"/>
        </w:numPr>
        <w:pBdr/>
        <w:spacing w:after="60"/>
        <w:ind/>
        <w:rPr/>
      </w:pPr>
      <w:r>
        <w:t xml:space="preserve">Cas mono-spécifique inclus par exception : tout modèle mono-spécifique (SDM, individu-centré, bioéconomique, etc.) utilisé explicitement pour la gestion halieutique ou le design d'AMP, quel que soit le type de modèle.</w:t>
      </w:r>
      <w:r/>
    </w:p>
    <w:p>
      <w:pPr>
        <w:pStyle w:val="719"/>
        <w:numPr>
          <w:ilvl w:val="0"/>
          <w:numId w:val="3"/>
        </w:numPr>
        <w:pBdr/>
        <w:spacing w:after="60"/>
        <w:ind/>
        <w:rPr/>
      </w:pPr>
      <w:r>
        <w:t xml:space="preserve">Hors de ces cas, les études mono-spécifiques sont exclues.</w:t>
      </w:r>
      <w:r/>
    </w:p>
    <w:p>
      <w:pPr>
        <w:pStyle w:val="719"/>
        <w:numPr>
          <w:ilvl w:val="0"/>
          <w:numId w:val="2"/>
        </w:numPr>
        <w:pBdr/>
        <w:spacing w:after="120"/>
        <w:ind/>
        <w:rPr/>
      </w:pPr>
      <w:r>
        <w:rPr>
          <w:b/>
          <w:bCs/>
        </w:rPr>
        <w:t xml:space="preserve">Type de publication. </w:t>
      </w:r>
      <w:r>
        <w:t xml:space="preserve">Articles originaux, articles de modélisation, rapports techniques institutionnels (FAO, ICES, etc.). Les revues et synthèses sont incluses et marquées « Review / synthesis ». Les livres sont exclus. Veiller à ne pas perdre les références sans abstract.</w:t>
      </w:r>
      <w:r/>
    </w:p>
    <w:p>
      <w:pPr>
        <w:pStyle w:val="719"/>
        <w:numPr>
          <w:ilvl w:val="0"/>
          <w:numId w:val="2"/>
        </w:numPr>
        <w:pBdr/>
        <w:spacing w:after="120"/>
        <w:ind/>
        <w:rPr/>
      </w:pPr>
      <w:r>
        <w:rPr>
          <w:b/>
          <w:bCs/>
        </w:rPr>
        <w:t xml:space="preserve">Période. </w:t>
      </w:r>
      <w:r>
        <w:t xml:space="preserve">Articles publiés à partir de 2010. Ce filtre temporel est appliqué en amont, lors de la constitution du corpus, et non au stade du screening des abstracts.</w:t>
      </w:r>
      <w:r/>
    </w:p>
    <w:p>
      <w:pPr>
        <w:pStyle w:val="728"/>
        <w:pBdr/>
        <w:spacing/>
        <w:ind/>
        <w:rPr/>
      </w:pPr>
      <w:r>
        <w:t xml:space="preserve">Critères d'exclusion</w:t>
      </w:r>
      <w:r/>
    </w:p>
    <w:p>
      <w:pPr>
        <w:pBdr/>
        <w:spacing w:after="120"/>
        <w:ind/>
        <w:rPr/>
      </w:pPr>
      <w:r>
        <w:rPr>
          <w:i/>
          <w:iCs/>
        </w:rPr>
        <w:t xml:space="preserve">Un seul critère suffit pour exclure.</w:t>
      </w:r>
      <w:r/>
    </w:p>
    <w:p>
      <w:pPr>
        <w:pStyle w:val="719"/>
        <w:numPr>
          <w:ilvl w:val="0"/>
          <w:numId w:val="4"/>
        </w:numPr>
        <w:pBdr/>
        <w:spacing w:after="80"/>
        <w:ind/>
        <w:rPr/>
      </w:pPr>
      <w:r>
        <w:rPr>
          <w:b/>
          <w:bCs/>
        </w:rPr>
        <w:t xml:space="preserve">Terrestrial / Freshwater </w:t>
      </w:r>
      <w:r>
        <w:t xml:space="preserve">: sans interface marine explicite.</w:t>
      </w:r>
      <w:r/>
    </w:p>
    <w:p>
      <w:pPr>
        <w:pStyle w:val="719"/>
        <w:numPr>
          <w:ilvl w:val="0"/>
          <w:numId w:val="4"/>
        </w:numPr>
        <w:pBdr/>
        <w:spacing w:after="80"/>
        <w:ind/>
        <w:rPr/>
      </w:pPr>
      <w:r>
        <w:rPr>
          <w:b/>
          <w:bCs/>
        </w:rPr>
        <w:t xml:space="preserve">Not a model </w:t>
      </w:r>
      <w:r>
        <w:t xml:space="preserve">: absence de modèle au sens des critères d'inclusion.</w:t>
      </w:r>
      <w:r/>
    </w:p>
    <w:p>
      <w:pPr>
        <w:pStyle w:val="719"/>
        <w:numPr>
          <w:ilvl w:val="0"/>
          <w:numId w:val="4"/>
        </w:numPr>
        <w:pBdr/>
        <w:spacing w:after="80"/>
        <w:ind/>
        <w:rPr/>
      </w:pPr>
      <w:r>
        <w:rPr>
          <w:b/>
          <w:bCs/>
        </w:rPr>
        <w:t xml:space="preserve">Descriptive only </w:t>
      </w:r>
      <w:r>
        <w:t xml:space="preserve">: statistique descriptive sans modèle.</w:t>
      </w:r>
      <w:r/>
    </w:p>
    <w:p>
      <w:pPr>
        <w:pStyle w:val="719"/>
        <w:numPr>
          <w:ilvl w:val="0"/>
          <w:numId w:val="4"/>
        </w:numPr>
        <w:pBdr/>
        <w:spacing w:after="80"/>
        <w:ind/>
        <w:rPr/>
      </w:pPr>
      <w:r>
        <w:rPr>
          <w:b/>
          <w:bCs/>
        </w:rPr>
        <w:t xml:space="preserve">No management link </w:t>
      </w:r>
      <w:r>
        <w:t xml:space="preserve">: lien gestion absent ou trop indirect.</w:t>
      </w:r>
      <w:r/>
    </w:p>
    <w:p>
      <w:pPr>
        <w:pStyle w:val="719"/>
        <w:numPr>
          <w:ilvl w:val="0"/>
          <w:numId w:val="4"/>
        </w:numPr>
        <w:pBdr/>
        <w:spacing w:after="80"/>
        <w:ind/>
        <w:rPr/>
      </w:pPr>
      <w:r>
        <w:rPr>
          <w:b/>
          <w:bCs/>
        </w:rPr>
        <w:t xml:space="preserve">Mono-spécifique </w:t>
      </w:r>
      <w:r>
        <w:t xml:space="preserve">: hors du cas d'exception (modèle mono-spécifique explicitement utilisé pour la gestion halieutique ou le design d'AMP).</w:t>
      </w:r>
      <w:r/>
    </w:p>
    <w:p>
      <w:pPr>
        <w:pStyle w:val="719"/>
        <w:numPr>
          <w:ilvl w:val="0"/>
          <w:numId w:val="4"/>
        </w:numPr>
        <w:pBdr/>
        <w:spacing w:after="80"/>
        <w:ind/>
        <w:rPr/>
      </w:pPr>
      <w:r>
        <w:rPr>
          <w:b/>
          <w:bCs/>
        </w:rPr>
        <w:t xml:space="preserve">Cadre conceptuel </w:t>
      </w:r>
      <w:r>
        <w:t xml:space="preserve">sans application empirique.</w:t>
      </w:r>
      <w:r/>
    </w:p>
    <w:p>
      <w:pPr>
        <w:pStyle w:val="719"/>
        <w:numPr>
          <w:ilvl w:val="0"/>
          <w:numId w:val="4"/>
        </w:numPr>
        <w:pBdr/>
        <w:spacing w:after="80"/>
        <w:ind/>
        <w:rPr/>
      </w:pPr>
      <w:r>
        <w:rPr>
          <w:b/>
          <w:bCs/>
        </w:rPr>
        <w:t xml:space="preserve">Modèle purement méthodologique </w:t>
      </w:r>
      <w:r>
        <w:t xml:space="preserve">sans application de gestion.</w:t>
      </w:r>
      <w:r/>
    </w:p>
    <w:p>
      <w:pPr>
        <w:pStyle w:val="719"/>
        <w:numPr>
          <w:ilvl w:val="0"/>
          <w:numId w:val="4"/>
        </w:numPr>
        <w:pBdr/>
        <w:spacing w:after="80"/>
        <w:ind/>
        <w:rPr/>
      </w:pPr>
      <w:r>
        <w:rPr>
          <w:b/>
          <w:bCs/>
        </w:rPr>
        <w:t xml:space="preserve">Modèle physique ou environnemental </w:t>
      </w:r>
      <w:r>
        <w:t xml:space="preserve">sans composante écologique.</w:t>
      </w:r>
      <w:r/>
    </w:p>
    <w:p>
      <w:pPr>
        <w:pStyle w:val="719"/>
        <w:numPr>
          <w:ilvl w:val="0"/>
          <w:numId w:val="4"/>
        </w:numPr>
        <w:pBdr/>
        <w:spacing w:after="80"/>
        <w:ind/>
        <w:rPr/>
      </w:pPr>
      <w:r>
        <w:rPr>
          <w:b/>
          <w:bCs/>
        </w:rPr>
        <w:t xml:space="preserve">Laboratory / Experimental.</w:t>
      </w:r>
      <w:r/>
    </w:p>
    <w:p>
      <w:pPr>
        <w:pBdr/>
        <w:spacing w:before="160"/>
        <w:ind/>
        <w:rPr/>
      </w:pPr>
      <w:r>
        <w:rPr>
          <w:b/>
          <w:bCs/>
        </w:rPr>
        <w:t xml:space="preserve">Règle en cas de doute : inclure.</w:t>
      </w:r>
      <w:r/>
    </w:p>
    <w:sectPr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20" w:left="6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•"/>
      <w:numFmt w:val="bullet"/>
      <w:pPr>
        <w:pBdr/>
        <w:spacing/>
        <w:ind w:hanging="320" w:left="6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lvl w:ilvl="0">
      <w:isLgl w:val="false"/>
      <w:lvlJc w:val="left"/>
      <w:lvlText w:val="–"/>
      <w:numFmt w:val="bullet"/>
      <w:pPr>
        <w:pBdr/>
        <w:spacing/>
        <w:ind w:hanging="320" w:left="108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1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1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1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2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13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714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15">
    <w:name w:val="Heading 4"/>
    <w:qFormat/>
    <w:pPr>
      <w:pBdr/>
      <w:spacing/>
      <w:ind/>
    </w:pPr>
    <w:rPr>
      <w:i/>
      <w:iCs/>
      <w:color w:val="2e74b5"/>
    </w:rPr>
  </w:style>
  <w:style w:type="paragraph" w:styleId="716">
    <w:name w:val="Heading 5"/>
    <w:qFormat/>
    <w:pPr>
      <w:pBdr/>
      <w:spacing/>
      <w:ind/>
    </w:pPr>
    <w:rPr>
      <w:color w:val="2e74b5"/>
    </w:rPr>
  </w:style>
  <w:style w:type="paragraph" w:styleId="717">
    <w:name w:val="Heading 6"/>
    <w:qFormat/>
    <w:pPr>
      <w:pBdr/>
      <w:spacing/>
      <w:ind/>
    </w:pPr>
    <w:rPr>
      <w:color w:val="1f4d78"/>
    </w:rPr>
  </w:style>
  <w:style w:type="paragraph" w:styleId="718">
    <w:name w:val="Strong"/>
    <w:qFormat/>
    <w:pPr>
      <w:pBdr/>
      <w:spacing/>
      <w:ind/>
    </w:pPr>
    <w:rPr>
      <w:b/>
      <w:bCs/>
    </w:rPr>
  </w:style>
  <w:style w:type="paragraph" w:styleId="719">
    <w:name w:val="List Paragraph"/>
    <w:qFormat/>
    <w:pPr>
      <w:pBdr/>
      <w:spacing/>
      <w:ind/>
    </w:pPr>
  </w:style>
  <w:style w:type="character" w:styleId="720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21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2">
    <w:name w:val="footnote text"/>
    <w:link w:val="72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3">
    <w:name w:val="Footnote Text Char"/>
    <w:link w:val="722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24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5">
    <w:name w:val="endnote text"/>
    <w:link w:val="72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6">
    <w:name w:val="Endnote Text Char"/>
    <w:link w:val="725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727">
    <w:name w:val="Title"/>
    <w:pPr>
      <w:pBdr/>
      <w:spacing w:after="80"/>
      <w:ind/>
    </w:pPr>
    <w:rPr>
      <w:rFonts w:ascii="Arial" w:hAnsi="Arial" w:eastAsia="Arial" w:cs="Arial"/>
      <w:b/>
      <w:bCs/>
      <w:color w:val="1f6f8b"/>
      <w:sz w:val="40"/>
      <w:szCs w:val="40"/>
    </w:rPr>
  </w:style>
  <w:style w:type="paragraph" w:styleId="728">
    <w:name w:val="Heading 1"/>
    <w:qFormat/>
    <w:pPr>
      <w:pBdr>
        <w:bottom w:val="single" w:color="1f6f8b" w:sz="6" w:space="4"/>
      </w:pBdr>
      <w:spacing w:after="160" w:before="320"/>
      <w:ind/>
      <w:outlineLvl w:val="0"/>
    </w:pPr>
    <w:rPr>
      <w:rFonts w:ascii="Arial" w:hAnsi="Arial" w:eastAsia="Arial" w:cs="Arial"/>
      <w:b/>
      <w:bCs/>
      <w:color w:val="1f6f8b"/>
      <w:sz w:val="30"/>
      <w:szCs w:val="3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onlyoffice/9.4.1.15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theophile.mouton92@gmail.com</cp:lastModifiedBy>
  <cp:revision>2</cp:revision>
  <dcterms:created xsi:type="dcterms:W3CDTF">2026-06-22T13:19:19Z</dcterms:created>
  <dcterms:modified xsi:type="dcterms:W3CDTF">2026-07-24T12:17:37Z</dcterms:modified>
</cp:coreProperties>
</file>