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东华文创园（脱敏）改造任务书（脱敏摘录）</w:t>
      </w:r>
    </w:p>
    <w:p>
      <w:pPr>
        <w:pStyle w:val="Heading2"/>
      </w:pPr>
      <w:r>
        <w:t>项目背景</w:t>
      </w:r>
    </w:p>
    <w:p>
      <w:r>
        <w:t>东华文创园（脱敏）原为 1980 年代工业厂房，现拟转型为创意办公与展示复合功能。</w:t>
      </w:r>
    </w:p>
    <w:p>
      <w:r>
        <w:t>业主希望保留主体结构框架，提升公共界面与首层开放性，分三期实施。</w:t>
      </w:r>
    </w:p>
    <w:p>
      <w:pPr>
        <w:pStyle w:val="Heading2"/>
      </w:pPr>
      <w:r>
        <w:t>现状问题</w:t>
      </w:r>
    </w:p>
    <w:p>
      <w:r>
        <w:t>屋面渗漏与局部构件锈蚀需优先处理；消防疏散不满足现行规范。</w:t>
      </w:r>
    </w:p>
    <w:p>
      <w:r>
        <w:t>厂区主入口形象陈旧，缺乏连续公共界面；停车与卸货流线交叉。</w:t>
      </w:r>
    </w:p>
    <w:p>
      <w:pPr>
        <w:pStyle w:val="Heading2"/>
      </w:pPr>
      <w:r>
        <w:t>改造原则</w:t>
      </w:r>
    </w:p>
    <w:p>
      <w:r>
        <w:t>结构能留则留，局部加固与置换并重；机电系统整体更新。</w:t>
      </w:r>
    </w:p>
    <w:p>
      <w:r>
        <w:t>首层开放、上层弹性办公；保留工业遗存记忆点作为叙事锚点。</w:t>
      </w:r>
    </w:p>
    <w:p>
      <w:pPr>
        <w:pStyle w:val="Heading2"/>
      </w:pPr>
      <w:r>
        <w:t>分期要求</w:t>
      </w:r>
    </w:p>
    <w:p>
      <w:r>
        <w:t>一期保障既有租户运营，完成屋面与消防改造；</w:t>
      </w:r>
    </w:p>
    <w:p>
      <w:r>
        <w:t>二期完成公共界面与主入口；三期完善屋顶公共层与景观。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