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砚溪村（脱敏）村落调研纪要</w:t>
      </w:r>
    </w:p>
    <w:p>
      <w:pPr>
        <w:pStyle w:val="Heading2"/>
      </w:pPr>
      <w:r>
        <w:t>村落概况</w:t>
      </w:r>
    </w:p>
    <w:p>
      <w:r>
        <w:t>砚溪村（脱敏）位于江南水网平原，形成于明清时期，现存街巷格局与宗祠、码头遗存较为完整。</w:t>
      </w:r>
    </w:p>
    <w:p>
      <w:r>
        <w:t>本次调研以现场踏勘、村民访谈与地方志摘录为主，不涉及真实地名与个人隐私。</w:t>
      </w:r>
    </w:p>
    <w:p>
      <w:pPr>
        <w:pStyle w:val="Heading2"/>
      </w:pPr>
      <w:r>
        <w:t>水系与街巷</w:t>
      </w:r>
    </w:p>
    <w:p>
      <w:r>
        <w:t>村内主河道呈 Y 形串联祠堂前广场与集市节点，支渠渗透至院落腹地。</w:t>
      </w:r>
    </w:p>
    <w:p>
      <w:r>
        <w:t>旅游旺季主街高峰人流约为平日 3 倍，居民反映噪声与垃圾清运压力显著。</w:t>
      </w:r>
    </w:p>
    <w:p>
      <w:pPr>
        <w:pStyle w:val="Heading2"/>
      </w:pPr>
      <w:r>
        <w:t>宗祠与公共建筑</w:t>
      </w:r>
    </w:p>
    <w:p>
      <w:r>
        <w:t>宗祠三进院落保存较好，梁架局部糟朽，需结构检测后分级修缮。</w:t>
      </w:r>
    </w:p>
    <w:p>
      <w:r>
        <w:t>戏台与晒场仍承担节庆活动，但缺少明确的分区管理与导览标识。</w:t>
      </w:r>
    </w:p>
    <w:p>
      <w:pPr>
        <w:pStyle w:val="Heading2"/>
      </w:pPr>
      <w:r>
        <w:t>民居与活化</w:t>
      </w:r>
    </w:p>
    <w:p>
      <w:r>
        <w:t>约 38% 民居空置或仅季节性居住，结构老化与设施不足并存。</w:t>
      </w:r>
    </w:p>
    <w:p>
      <w:r>
        <w:t>建议以“保护底线 + 分层活化”为原则，优先修复沿水巷的连续界面。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