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老院区概况</w:t>
      </w:r>
    </w:p>
    <w:p>
      <w:r>
        <w:t>现状门诊楼建于1998年，南北向布局，需保留部分历史立面。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