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b/>
          <w:bCs/>
          <w:color w:val="1F3A5F"/>
          <w:sz w:val="46"/>
          <w:szCs w:val="46"/>
        </w:rPr>
        <w:t xml:space="preserve">The Architecture of Grace</w:t>
      </w:r>
    </w:p>
    <w:p>
      <w:pPr>
        <w:spacing w:after="200"/>
      </w:pPr>
      <w:r>
        <w:rPr>
          <w:color w:val="B8893A"/>
          <w:sz w:val="26"/>
          <w:szCs w:val="26"/>
        </w:rPr>
        <w:t xml:space="preserve">Ecosystem Overview, Cohort Map &amp; Orientation Guide</w:t>
      </w:r>
    </w:p>
    <w:p>
      <w:pPr>
        <w:spacing w:after="20" w:before="0"/>
      </w:pPr>
      <w:r>
        <w:rPr>
          <w:b/>
          <w:bCs/>
          <w:color w:val="1F3A5F"/>
          <w:sz w:val="24"/>
          <w:szCs w:val="24"/>
        </w:rPr>
        <w:t xml:space="preserve">James Anthony Ramsden</w:t>
      </w:r>
    </w:p>
    <w:p>
      <w:pPr>
        <w:spacing w:after="220" w:before="0"/>
      </w:pPr>
      <w:r>
        <w:rPr>
          <w:i/>
          <w:iCs/>
          <w:color w:val="555555"/>
          <w:sz w:val="20"/>
          <w:szCs w:val="20"/>
        </w:rPr>
        <w:t xml:space="preserve">The Architecture of Grace Foundation</w:t>
      </w:r>
    </w:p>
    <w:p>
      <w:pPr>
        <w:spacing w:after="120" w:before="0"/>
      </w:pPr>
      <w:r>
        <w:rPr>
          <w:sz w:val="22"/>
          <w:szCs w:val="22"/>
        </w:rPr>
        <w:t xml:space="preserve">My name is Jimmy Ramsden. I didn’t come to this work from a boardroom — I came to it from the classroom, where I still teach today as a special educator.</w:t>
      </w:r>
    </w:p>
    <w:p>
      <w:pPr>
        <w:spacing w:after="120" w:before="0"/>
      </w:pPr>
      <w:r>
        <w:t xml:space="preserve">For more than a decade I’ve worked as an Illinois-certified special educator across elementary and junior-high classrooms — in self-contained, resource, and social-behavioral settings — and I hold a Learning Behavior Specialist endorsement for students from preschool through age twenty-two. Along the way I built and ran an elementary Social-Emotional Learning resource program, where I coach students in the very skills this curriculum is built around: naming what they feel, steadying themselves, and trying again. The Architecture of Grace isn’t a departure from that classroom work — it’s two decades of it, gathered into something I can hand to other teachers.</w:t>
      </w:r>
    </w:p>
    <w:p>
      <w:pPr>
        <w:spacing w:after="120" w:before="0"/>
      </w:pPr>
      <w:r>
        <w:t xml:space="preserve">My journey started at Humboldt State University with a degree in political science. But the real catalyst came in 2006, when a serious car crash left me with a traumatic brain injury and a neurological disability. Rebuilding my life changed how I understand struggle, patience, and grace, and it’s what turned me toward special education and a master’s at Aurora University in Aurora, Illinois. It’s the reason this work isn’t abstract to me.</w:t>
      </w:r>
    </w:p>
    <w:p>
      <w:pPr>
        <w:spacing w:after="60" w:before="0"/>
      </w:pPr>
      <w:r>
        <w:rPr>
          <w:b/>
          <w:bCs/>
        </w:rPr>
        <w:t xml:space="preserve">The Architecture of Grace rests on four core pillars:</w:t>
      </w:r>
    </w:p>
    <w:p>
      <w:pPr>
        <w:spacing w:after="60"/>
        <w:ind w:left="120"/>
      </w:pPr>
      <w:r>
        <w:rPr>
          <w:b/>
          <w:bCs/>
          <w:color w:val="7A5A12"/>
          <w:sz w:val="21"/>
          <w:szCs w:val="21"/>
        </w:rPr>
        <w:t xml:space="preserve">Identity — </w:t>
      </w:r>
      <w:r>
        <w:rPr>
          <w:sz w:val="21"/>
          <w:szCs w:val="21"/>
        </w:rPr>
        <w:t xml:space="preserve">who a person comes to believe they are.</w:t>
      </w:r>
    </w:p>
    <w:p>
      <w:pPr>
        <w:spacing w:after="60"/>
        <w:ind w:left="120"/>
      </w:pPr>
      <w:r>
        <w:rPr>
          <w:b/>
          <w:bCs/>
          <w:color w:val="7A5A12"/>
          <w:sz w:val="21"/>
          <w:szCs w:val="21"/>
        </w:rPr>
        <w:t xml:space="preserve">Self-Compassion — </w:t>
      </w:r>
      <w:r>
        <w:rPr>
          <w:sz w:val="21"/>
          <w:szCs w:val="21"/>
        </w:rPr>
        <w:t xml:space="preserve">how a person learns to speak to themselves.</w:t>
      </w:r>
    </w:p>
    <w:p>
      <w:pPr>
        <w:spacing w:after="60"/>
        <w:ind w:left="120"/>
      </w:pPr>
      <w:r>
        <w:rPr>
          <w:b/>
          <w:bCs/>
          <w:color w:val="7A5A12"/>
          <w:sz w:val="21"/>
          <w:szCs w:val="21"/>
        </w:rPr>
        <w:t xml:space="preserve">Forgiveness — </w:t>
      </w:r>
      <w:r>
        <w:rPr>
          <w:sz w:val="21"/>
          <w:szCs w:val="21"/>
        </w:rPr>
        <w:t xml:space="preserve">moving past mistakes to make room for growth.</w:t>
      </w:r>
    </w:p>
    <w:p>
      <w:pPr>
        <w:spacing w:after="60"/>
        <w:ind w:left="120"/>
      </w:pPr>
      <w:r>
        <w:rPr>
          <w:b/>
          <w:bCs/>
          <w:color w:val="7A5A12"/>
          <w:sz w:val="21"/>
          <w:szCs w:val="21"/>
        </w:rPr>
        <w:t xml:space="preserve">Grace — </w:t>
      </w:r>
      <w:r>
        <w:rPr>
          <w:sz w:val="21"/>
          <w:szCs w:val="21"/>
        </w:rPr>
        <w:t xml:space="preserve">meeting a person with understanding rather than only judgment.</w:t>
      </w:r>
    </w:p>
    <w:p>
      <w:pPr>
        <w:spacing w:after="80" w:before="0"/>
      </w:pPr>
      <w:r>
        <w:t xml:space="preserve">As a teacher and a father, these are the values I want for my students, my own children — and for anyone willing to do this work.</w:t>
      </w:r>
    </w:p>
    <w:p>
      <w:r>
        <w:br w:type="page"/>
      </w:r>
    </w:p>
    <w:p>
      <w:pPr>
        <w:spacing w:after="30" w:before="60"/>
      </w:pPr>
      <w:r>
        <w:rPr>
          <w:b/>
          <w:bCs/>
          <w:caps/>
          <w:color w:val="7A5A12"/>
          <w:sz w:val="18"/>
          <w:szCs w:val="18"/>
        </w:rPr>
        <w:t xml:space="preserve">Section One</w:t>
      </w:r>
    </w:p>
    <w:p>
      <w:pPr>
        <w:pStyle w:val="Heading1"/>
      </w:pPr>
      <w:r>
        <w:t xml:space="preserve">The 12-Year Architecture</w:t>
      </w:r>
    </w:p>
    <w:p>
      <w:pPr>
        <w:spacing w:after="120" w:before="0"/>
      </w:pPr>
      <w:r>
        <w:rPr>
          <w:color w:val="555555"/>
        </w:rPr>
        <w:t xml:space="preserve">The Architecture of Grace is a 12-year ecosystem that shifts from external structure to internal architecture. It is built to grow up with the child. The tools are the same. The rooms change.</w:t>
      </w:r>
    </w:p>
    <w:p>
      <w:pPr>
        <w:spacing w:after="120" w:before="0"/>
      </w:pPr>
      <w:r>
        <w:t xml:space="preserve">The framework lives in two layers. There is a K–12 SEL curriculum — the lessons, tools, anchor charts, and rituals a teacher actually delivers in the room — and there is a companion series of six novels that carry those same ideas as story, one per grade band, from Room 12 to the room with no number. The curriculum teaches the tool; the novel shows a child using it across a life. The digital Quiet Space check-in then points each student to the exact lesson, chart, and chapter they need next. The arc below is all three at once.</w:t>
      </w:r>
    </w:p>
    <w:p>
      <w:pPr>
        <w:pBdr>
          <w:bottom w:val="single" w:color="D9CFB8" w:sz="4" w:space="3"/>
        </w:pBdr>
        <w:spacing w:after="60" w:before="160"/>
      </w:pPr>
      <w:r>
        <w:rPr>
          <w:b/>
          <w:bCs/>
          <w:color w:val="1F3A5F"/>
          <w:sz w:val="24"/>
          <w:szCs w:val="24"/>
        </w:rPr>
        <w:t xml:space="preserve">Book One · The Foundation (Grades K–2)</w:t>
      </w:r>
    </w:p>
    <w:p>
      <w:pPr>
        <w:spacing w:after="60"/>
        <w:ind w:left="120"/>
      </w:pPr>
      <w:r>
        <w:rPr>
          <w:b/>
          <w:bCs/>
          <w:color w:val="7A5A12"/>
          <w:sz w:val="19"/>
          <w:szCs w:val="19"/>
        </w:rPr>
        <w:t xml:space="preserve">The Room:  </w:t>
      </w:r>
      <w:r>
        <w:rPr>
          <w:sz w:val="21"/>
          <w:szCs w:val="21"/>
        </w:rPr>
        <w:t xml:space="preserve">Room 12</w:t>
      </w:r>
    </w:p>
    <w:p>
      <w:pPr>
        <w:spacing w:after="60"/>
        <w:ind w:left="120"/>
      </w:pPr>
      <w:r>
        <w:rPr>
          <w:b/>
          <w:bCs/>
          <w:color w:val="7A5A12"/>
          <w:sz w:val="19"/>
          <w:szCs w:val="19"/>
        </w:rPr>
        <w:t xml:space="preserve">The Tool:  </w:t>
      </w:r>
      <w:r>
        <w:rPr>
          <w:sz w:val="21"/>
          <w:szCs w:val="21"/>
        </w:rPr>
        <w:t xml:space="preserve">Sammy the Frog (Externalized voice)</w:t>
      </w:r>
    </w:p>
    <w:p>
      <w:pPr>
        <w:spacing w:after="60"/>
        <w:ind w:left="120"/>
      </w:pPr>
      <w:r>
        <w:rPr>
          <w:b/>
          <w:bCs/>
          <w:color w:val="7A5A12"/>
          <w:sz w:val="19"/>
          <w:szCs w:val="19"/>
        </w:rPr>
        <w:t xml:space="preserve">The Shift:  </w:t>
      </w:r>
      <w:r>
        <w:rPr>
          <w:sz w:val="21"/>
          <w:szCs w:val="21"/>
        </w:rPr>
        <w:t xml:space="preserve">“Oops vs. I am bad.” The foundational distinction between behavior and identity. Teaching the brain to stop global shame.</w:t>
      </w:r>
    </w:p>
    <w:p>
      <w:pPr>
        <w:pBdr>
          <w:left w:val="single" w:color="B8893A" w:sz="18" w:space="10"/>
        </w:pBdr>
        <w:spacing w:after="160" w:before="40"/>
        <w:ind w:left="240"/>
      </w:pPr>
      <w:r>
        <w:rPr>
          <w:i/>
          <w:iCs/>
          <w:color w:val="1F3A5F"/>
          <w:sz w:val="22"/>
          <w:szCs w:val="22"/>
        </w:rPr>
        <w:t xml:space="preserve">“Sammy already knows you are here. That is enough for today.”</w:t>
      </w:r>
    </w:p>
    <w:p>
      <w:pPr>
        <w:pBdr>
          <w:bottom w:val="single" w:color="D9CFB8" w:sz="4" w:space="3"/>
        </w:pBdr>
        <w:spacing w:after="60" w:before="160"/>
      </w:pPr>
      <w:r>
        <w:rPr>
          <w:b/>
          <w:bCs/>
          <w:color w:val="1F3A5F"/>
          <w:sz w:val="24"/>
          <w:szCs w:val="24"/>
        </w:rPr>
        <w:t xml:space="preserve">Book Two · The Framework (Grades 3–5)</w:t>
      </w:r>
    </w:p>
    <w:p>
      <w:pPr>
        <w:spacing w:after="60"/>
        <w:ind w:left="120"/>
      </w:pPr>
      <w:r>
        <w:rPr>
          <w:b/>
          <w:bCs/>
          <w:color w:val="7A5A12"/>
          <w:sz w:val="19"/>
          <w:szCs w:val="19"/>
        </w:rPr>
        <w:t xml:space="preserve">The Room:  </w:t>
      </w:r>
      <w:r>
        <w:rPr>
          <w:sz w:val="21"/>
          <w:szCs w:val="21"/>
        </w:rPr>
        <w:t xml:space="preserve">Room 18</w:t>
      </w:r>
    </w:p>
    <w:p>
      <w:pPr>
        <w:spacing w:after="60"/>
        <w:ind w:left="120"/>
      </w:pPr>
      <w:r>
        <w:rPr>
          <w:b/>
          <w:bCs/>
          <w:color w:val="7A5A12"/>
          <w:sz w:val="19"/>
          <w:szCs w:val="19"/>
        </w:rPr>
        <w:t xml:space="preserve">The Tool:  </w:t>
      </w:r>
      <w:r>
        <w:rPr>
          <w:sz w:val="21"/>
          <w:szCs w:val="21"/>
        </w:rPr>
        <w:t xml:space="preserve">Inner Critic vs. Inner Coach (Beginning to internalize)</w:t>
      </w:r>
    </w:p>
    <w:p>
      <w:pPr>
        <w:spacing w:after="60"/>
        <w:ind w:left="120"/>
      </w:pPr>
      <w:r>
        <w:rPr>
          <w:b/>
          <w:bCs/>
          <w:color w:val="7A5A12"/>
          <w:sz w:val="19"/>
          <w:szCs w:val="19"/>
        </w:rPr>
        <w:t xml:space="preserve">The Shift:  </w:t>
      </w:r>
      <w:r>
        <w:rPr>
          <w:sz w:val="21"/>
          <w:szCs w:val="21"/>
        </w:rPr>
        <w:t xml:space="preserve">From externalized voice to internal voice. The shift from “Grumpy Gus” to the “Inner Critic.” The introduction of the “Things I’m Still Figuring Out” branch on the Identity Web.</w:t>
      </w:r>
    </w:p>
    <w:p>
      <w:pPr>
        <w:pBdr>
          <w:bottom w:val="single" w:color="D9CFB8" w:sz="4" w:space="3"/>
        </w:pBdr>
        <w:spacing w:after="60" w:before="160"/>
      </w:pPr>
      <w:r>
        <w:rPr>
          <w:b/>
          <w:bCs/>
          <w:color w:val="1F3A5F"/>
          <w:sz w:val="24"/>
          <w:szCs w:val="24"/>
        </w:rPr>
        <w:t xml:space="preserve">Book Three · The Interior (Grades 6–8)</w:t>
      </w:r>
    </w:p>
    <w:p>
      <w:pPr>
        <w:spacing w:after="60"/>
        <w:ind w:left="120"/>
      </w:pPr>
      <w:r>
        <w:rPr>
          <w:b/>
          <w:bCs/>
          <w:color w:val="7A5A12"/>
          <w:sz w:val="19"/>
          <w:szCs w:val="19"/>
        </w:rPr>
        <w:t xml:space="preserve">The Room:  </w:t>
      </w:r>
      <w:r>
        <w:rPr>
          <w:sz w:val="21"/>
          <w:szCs w:val="21"/>
        </w:rPr>
        <w:t xml:space="preserve">Room 36</w:t>
      </w:r>
    </w:p>
    <w:p>
      <w:pPr>
        <w:spacing w:after="60"/>
        <w:ind w:left="120"/>
      </w:pPr>
      <w:r>
        <w:rPr>
          <w:b/>
          <w:bCs/>
          <w:color w:val="7A5A12"/>
          <w:sz w:val="19"/>
          <w:szCs w:val="19"/>
        </w:rPr>
        <w:t xml:space="preserve">The Tool:  </w:t>
      </w:r>
      <w:r>
        <w:rPr>
          <w:sz w:val="21"/>
          <w:szCs w:val="21"/>
        </w:rPr>
        <w:t xml:space="preserve">The Mask vs. The Mirror / The Digital Backpack</w:t>
      </w:r>
    </w:p>
    <w:p>
      <w:pPr>
        <w:spacing w:after="60"/>
        <w:ind w:left="120"/>
      </w:pPr>
      <w:r>
        <w:rPr>
          <w:b/>
          <w:bCs/>
          <w:color w:val="7A5A12"/>
          <w:sz w:val="19"/>
          <w:szCs w:val="19"/>
        </w:rPr>
        <w:t xml:space="preserve">The Shift:  </w:t>
      </w:r>
      <w:r>
        <w:rPr>
          <w:sz w:val="21"/>
          <w:szCs w:val="21"/>
        </w:rPr>
        <w:t xml:space="preserve">The room moves inside them. The work is no longer about what happens in the room. It is about what happens when the cohort is not in the room. The shift from performing to being real.</w:t>
      </w:r>
    </w:p>
    <w:p>
      <w:pPr>
        <w:pBdr>
          <w:bottom w:val="single" w:color="D9CFB8" w:sz="4" w:space="3"/>
        </w:pBdr>
        <w:spacing w:after="60" w:before="160"/>
      </w:pPr>
      <w:r>
        <w:rPr>
          <w:b/>
          <w:bCs/>
          <w:color w:val="1F3A5F"/>
          <w:sz w:val="24"/>
          <w:szCs w:val="24"/>
        </w:rPr>
        <w:t xml:space="preserve">Book Four · The Façade (Grades 9–10)</w:t>
      </w:r>
    </w:p>
    <w:p>
      <w:pPr>
        <w:spacing w:after="60"/>
        <w:ind w:left="120"/>
      </w:pPr>
      <w:r>
        <w:rPr>
          <w:b/>
          <w:bCs/>
          <w:color w:val="7A5A12"/>
          <w:sz w:val="19"/>
          <w:szCs w:val="19"/>
        </w:rPr>
        <w:t xml:space="preserve">The Room:  </w:t>
      </w:r>
      <w:r>
        <w:rPr>
          <w:sz w:val="21"/>
          <w:szCs w:val="21"/>
        </w:rPr>
        <w:t xml:space="preserve">Room 104</w:t>
      </w:r>
    </w:p>
    <w:p>
      <w:pPr>
        <w:spacing w:after="60"/>
        <w:ind w:left="120"/>
      </w:pPr>
      <w:r>
        <w:rPr>
          <w:b/>
          <w:bCs/>
          <w:color w:val="7A5A12"/>
          <w:sz w:val="19"/>
          <w:szCs w:val="19"/>
        </w:rPr>
        <w:t xml:space="preserve">The Tool:  </w:t>
      </w:r>
      <w:r>
        <w:rPr>
          <w:sz w:val="21"/>
          <w:szCs w:val="21"/>
        </w:rPr>
        <w:t xml:space="preserve">The Performance Tax (TAX = GAP × TIME) / The Identity Shield</w:t>
      </w:r>
    </w:p>
    <w:p>
      <w:pPr>
        <w:spacing w:after="60"/>
        <w:ind w:left="120"/>
      </w:pPr>
      <w:r>
        <w:rPr>
          <w:b/>
          <w:bCs/>
          <w:color w:val="7A5A12"/>
          <w:sz w:val="19"/>
          <w:szCs w:val="19"/>
        </w:rPr>
        <w:t xml:space="preserve">The Shift:  </w:t>
      </w:r>
      <w:r>
        <w:rPr>
          <w:sz w:val="21"/>
          <w:szCs w:val="21"/>
        </w:rPr>
        <w:t xml:space="preserve">The façade — the curated self vs. the authentic self. The realization that you are performing a role, and the performance is consuming the energy you need for the real you. The building is big. The cohort is scattered. The architecture has to hold without the room.</w:t>
      </w:r>
    </w:p>
    <w:p>
      <w:pPr>
        <w:pBdr>
          <w:bottom w:val="single" w:color="D9CFB8" w:sz="4" w:space="3"/>
        </w:pBdr>
        <w:spacing w:after="60" w:before="160"/>
      </w:pPr>
      <w:r>
        <w:rPr>
          <w:b/>
          <w:bCs/>
          <w:color w:val="1F3A5F"/>
          <w:sz w:val="24"/>
          <w:szCs w:val="24"/>
        </w:rPr>
        <w:t xml:space="preserve">Book Five · The Capstone (Grades 11–12)</w:t>
      </w:r>
    </w:p>
    <w:p>
      <w:pPr>
        <w:spacing w:after="60"/>
        <w:ind w:left="120"/>
      </w:pPr>
      <w:r>
        <w:rPr>
          <w:b/>
          <w:bCs/>
          <w:color w:val="7A5A12"/>
          <w:sz w:val="19"/>
          <w:szCs w:val="19"/>
        </w:rPr>
        <w:t xml:space="preserve">The Room:  </w:t>
      </w:r>
      <w:r>
        <w:rPr>
          <w:sz w:val="21"/>
          <w:szCs w:val="21"/>
        </w:rPr>
        <w:t xml:space="preserve">Room 207</w:t>
      </w:r>
    </w:p>
    <w:p>
      <w:pPr>
        <w:spacing w:after="60"/>
        <w:ind w:left="120"/>
      </w:pPr>
      <w:r>
        <w:rPr>
          <w:b/>
          <w:bCs/>
          <w:color w:val="7A5A12"/>
          <w:sz w:val="19"/>
          <w:szCs w:val="19"/>
        </w:rPr>
        <w:t xml:space="preserve">The Tool:  </w:t>
      </w:r>
      <w:r>
        <w:rPr>
          <w:sz w:val="21"/>
          <w:szCs w:val="21"/>
        </w:rPr>
        <w:t xml:space="preserve">The Compass of Integrity / The Final Backpack Audit</w:t>
      </w:r>
    </w:p>
    <w:p>
      <w:pPr>
        <w:spacing w:after="60"/>
        <w:ind w:left="120"/>
      </w:pPr>
      <w:r>
        <w:rPr>
          <w:b/>
          <w:bCs/>
          <w:color w:val="7A5A12"/>
          <w:sz w:val="19"/>
          <w:szCs w:val="19"/>
        </w:rPr>
        <w:t xml:space="preserve">The Shift:  </w:t>
      </w:r>
      <w:r>
        <w:rPr>
          <w:sz w:val="21"/>
          <w:szCs w:val="21"/>
        </w:rPr>
        <w:t xml:space="preserve">The threshold. The walking out. The realization that the tools don’t get bigger — you do. The distinction between a fault (something you did) and a powerless loss (a thing that happened to you). The realization that the architecture’s true test comes in adulthood, when the load gets heavy.</w:t>
      </w:r>
    </w:p>
    <w:p>
      <w:pPr>
        <w:pBdr>
          <w:bottom w:val="single" w:color="D9CFB8" w:sz="4" w:space="3"/>
        </w:pBdr>
        <w:spacing w:after="60" w:before="160"/>
      </w:pPr>
      <w:r>
        <w:rPr>
          <w:b/>
          <w:bCs/>
          <w:color w:val="1F3A5F"/>
          <w:sz w:val="24"/>
          <w:szCs w:val="24"/>
        </w:rPr>
        <w:t xml:space="preserve">Book Six · The Dwelling (Adult)</w:t>
      </w:r>
    </w:p>
    <w:p>
      <w:pPr>
        <w:spacing w:after="60"/>
        <w:ind w:left="120"/>
      </w:pPr>
      <w:r>
        <w:rPr>
          <w:b/>
          <w:bCs/>
          <w:color w:val="7A5A12"/>
          <w:sz w:val="19"/>
          <w:szCs w:val="19"/>
        </w:rPr>
        <w:t xml:space="preserve">The Room:  </w:t>
      </w:r>
      <w:r>
        <w:rPr>
          <w:sz w:val="21"/>
          <w:szCs w:val="21"/>
        </w:rPr>
        <w:t xml:space="preserve">The Room With No Number (Rosa’s basement)</w:t>
      </w:r>
    </w:p>
    <w:p>
      <w:pPr>
        <w:spacing w:after="60"/>
        <w:ind w:left="120"/>
      </w:pPr>
      <w:r>
        <w:rPr>
          <w:b/>
          <w:bCs/>
          <w:color w:val="7A5A12"/>
          <w:sz w:val="19"/>
          <w:szCs w:val="19"/>
        </w:rPr>
        <w:t xml:space="preserve">The Tool:  </w:t>
      </w:r>
      <w:r>
        <w:rPr>
          <w:sz w:val="21"/>
          <w:szCs w:val="21"/>
        </w:rPr>
        <w:t xml:space="preserve">The Table / The Going-Around / The Sauce</w:t>
      </w:r>
    </w:p>
    <w:p>
      <w:pPr>
        <w:spacing w:after="60"/>
        <w:ind w:left="120"/>
      </w:pPr>
      <w:r>
        <w:rPr>
          <w:b/>
          <w:bCs/>
          <w:color w:val="7A5A12"/>
          <w:sz w:val="19"/>
          <w:szCs w:val="19"/>
        </w:rPr>
        <w:t xml:space="preserve">The Shift:  </w:t>
      </w:r>
      <w:r>
        <w:rPr>
          <w:sz w:val="21"/>
          <w:szCs w:val="21"/>
        </w:rPr>
        <w:t xml:space="preserve">The load gets heavy. The toolkit looks small. The weather arrives. The architecture has to hold when the room has no number. The proof that it holds is not in childhood; it is whether it holds in the parking lots, the lost elections, and the marriages that end slowly. It holds the way a real building holds.</w:t>
      </w:r>
    </w:p>
    <w:p>
      <w:r>
        <w:br w:type="page"/>
      </w:r>
    </w:p>
    <w:p>
      <w:pPr>
        <w:spacing w:after="30" w:before="60"/>
      </w:pPr>
      <w:r>
        <w:rPr>
          <w:b/>
          <w:bCs/>
          <w:caps/>
          <w:color w:val="7A5A12"/>
          <w:sz w:val="18"/>
          <w:szCs w:val="18"/>
        </w:rPr>
        <w:t xml:space="preserve">Section Two</w:t>
      </w:r>
    </w:p>
    <w:p>
      <w:pPr>
        <w:pStyle w:val="Heading1"/>
      </w:pPr>
      <w:r>
        <w:t xml:space="preserve">The Cohort Map</w:t>
      </w:r>
    </w:p>
    <w:p>
      <w:pPr>
        <w:spacing w:after="120" w:before="0"/>
      </w:pPr>
      <w:r>
        <w:rPr>
          <w:i/>
          <w:iCs/>
          <w:color w:val="555555"/>
        </w:rPr>
        <w:t xml:space="preserve">The Architecture of Grace: Who They Are and Who They Become</w:t>
      </w:r>
    </w:p>
    <w:p>
      <w:pPr>
        <w:spacing w:after="50" w:before="150"/>
      </w:pPr>
      <w:r>
        <w:rPr>
          <w:b/>
          <w:bCs/>
          <w:color w:val="1F3A5F"/>
          <w:sz w:val="23"/>
          <w:szCs w:val="23"/>
        </w:rPr>
        <w:t xml:space="preserve">Marcus — The Truth-Teller</w:t>
      </w:r>
    </w:p>
    <w:p>
      <w:pPr>
        <w:spacing w:after="60"/>
        <w:ind w:left="120"/>
      </w:pPr>
      <w:r>
        <w:rPr>
          <w:b/>
          <w:bCs/>
          <w:color w:val="7A5A12"/>
          <w:sz w:val="19"/>
          <w:szCs w:val="19"/>
        </w:rPr>
        <w:t xml:space="preserve">The Core Wound:  </w:t>
      </w:r>
      <w:r>
        <w:rPr>
          <w:sz w:val="21"/>
          <w:szCs w:val="21"/>
        </w:rPr>
        <w:t xml:space="preserve">The lie he told at six (the bicycle and the sister). The stone he carried for nineteen years.</w:t>
      </w:r>
    </w:p>
    <w:p>
      <w:pPr>
        <w:spacing w:after="60"/>
        <w:ind w:left="120"/>
      </w:pPr>
      <w:r>
        <w:rPr>
          <w:b/>
          <w:bCs/>
          <w:color w:val="7A5A12"/>
          <w:sz w:val="19"/>
          <w:szCs w:val="19"/>
        </w:rPr>
        <w:t xml:space="preserve">The Arc:  </w:t>
      </w:r>
      <w:r>
        <w:rPr>
          <w:sz w:val="21"/>
          <w:szCs w:val="21"/>
        </w:rPr>
        <w:t xml:space="preserve">From the Mistake Wall to the comic-drawing kid in a room of strangers, to the man who decides to tell the whole truth at twenty-five. He is the boy who learns that telling the truth in new rooms is the hardest part of the work.</w:t>
      </w:r>
    </w:p>
    <w:p>
      <w:pPr>
        <w:spacing w:after="50" w:before="150"/>
      </w:pPr>
      <w:r>
        <w:rPr>
          <w:b/>
          <w:bCs/>
          <w:color w:val="1F3A5F"/>
          <w:sz w:val="23"/>
          <w:szCs w:val="23"/>
        </w:rPr>
        <w:t xml:space="preserve">Amara — The Bench-Sign Kid</w:t>
      </w:r>
    </w:p>
    <w:p>
      <w:pPr>
        <w:spacing w:after="60"/>
        <w:ind w:left="120"/>
      </w:pPr>
      <w:r>
        <w:rPr>
          <w:b/>
          <w:bCs/>
          <w:color w:val="7A5A12"/>
          <w:sz w:val="19"/>
          <w:szCs w:val="19"/>
        </w:rPr>
        <w:t xml:space="preserve">The Core Wound:  </w:t>
      </w:r>
      <w:r>
        <w:rPr>
          <w:sz w:val="21"/>
          <w:szCs w:val="21"/>
        </w:rPr>
        <w:t xml:space="preserve">The “adjacent” version of herself vs. the “cohort version” of herself.</w:t>
      </w:r>
    </w:p>
    <w:p>
      <w:pPr>
        <w:spacing w:after="60"/>
        <w:ind w:left="120"/>
      </w:pPr>
      <w:r>
        <w:rPr>
          <w:b/>
          <w:bCs/>
          <w:color w:val="7A5A12"/>
          <w:sz w:val="19"/>
          <w:szCs w:val="19"/>
        </w:rPr>
        <w:t xml:space="preserve">The Arc:  </w:t>
      </w:r>
      <w:r>
        <w:rPr>
          <w:sz w:val="21"/>
          <w:szCs w:val="21"/>
        </w:rPr>
        <w:t xml:space="preserve">From designing the bench sign, to losing the election by 411 votes, to realizing the table doesn’t count the wins. She is the kid who learns she can be the architect of systems that hold doors open.</w:t>
      </w:r>
    </w:p>
    <w:p>
      <w:pPr>
        <w:spacing w:after="50" w:before="150"/>
      </w:pPr>
      <w:r>
        <w:rPr>
          <w:b/>
          <w:bCs/>
          <w:color w:val="1F3A5F"/>
          <w:sz w:val="23"/>
          <w:szCs w:val="23"/>
        </w:rPr>
        <w:t xml:space="preserve">Sofia — The Keystone</w:t>
      </w:r>
    </w:p>
    <w:p>
      <w:pPr>
        <w:spacing w:after="60"/>
        <w:ind w:left="120"/>
      </w:pPr>
      <w:r>
        <w:rPr>
          <w:b/>
          <w:bCs/>
          <w:color w:val="7A5A12"/>
          <w:sz w:val="19"/>
          <w:szCs w:val="19"/>
        </w:rPr>
        <w:t xml:space="preserve">The Core Wound:  </w:t>
      </w:r>
      <w:r>
        <w:rPr>
          <w:sz w:val="21"/>
          <w:szCs w:val="21"/>
        </w:rPr>
        <w:t xml:space="preserve">The depression that comes with being the person everyone leans on.</w:t>
      </w:r>
    </w:p>
    <w:p>
      <w:pPr>
        <w:spacing w:after="60"/>
        <w:ind w:left="120"/>
      </w:pPr>
      <w:r>
        <w:rPr>
          <w:b/>
          <w:bCs/>
          <w:color w:val="7A5A12"/>
          <w:sz w:val="19"/>
          <w:szCs w:val="19"/>
        </w:rPr>
        <w:t xml:space="preserve">The Arc:  </w:t>
      </w:r>
      <w:r>
        <w:rPr>
          <w:sz w:val="21"/>
          <w:szCs w:val="21"/>
        </w:rPr>
        <w:t xml:space="preserve">From the girl with the worried stomach, to the “call-Sofia” kid, to the woman who keeps the room from collapsing. She is the keystone nobody checks on. She is the girl who learns the hardest mercy: You don’t have to put the stone down. You just don’t have to hold it by yourself.</w:t>
      </w:r>
    </w:p>
    <w:p>
      <w:pPr>
        <w:spacing w:after="50" w:before="150"/>
      </w:pPr>
      <w:r>
        <w:rPr>
          <w:b/>
          <w:bCs/>
          <w:color w:val="1F3A5F"/>
          <w:sz w:val="23"/>
          <w:szCs w:val="23"/>
        </w:rPr>
        <w:t xml:space="preserve">Priya — The List-Maker</w:t>
      </w:r>
    </w:p>
    <w:p>
      <w:pPr>
        <w:spacing w:after="60"/>
        <w:ind w:left="120"/>
      </w:pPr>
      <w:r>
        <w:rPr>
          <w:b/>
          <w:bCs/>
          <w:color w:val="7A5A12"/>
          <w:sz w:val="19"/>
          <w:szCs w:val="19"/>
        </w:rPr>
        <w:t xml:space="preserve">The Core Wound:  </w:t>
      </w:r>
      <w:r>
        <w:rPr>
          <w:sz w:val="21"/>
          <w:szCs w:val="21"/>
        </w:rPr>
        <w:t xml:space="preserve">The “nicer-shaped prison” of self-blame.</w:t>
      </w:r>
    </w:p>
    <w:p>
      <w:pPr>
        <w:spacing w:after="60"/>
        <w:ind w:left="120"/>
      </w:pPr>
      <w:r>
        <w:rPr>
          <w:b/>
          <w:bCs/>
          <w:color w:val="7A5A12"/>
          <w:sz w:val="19"/>
          <w:szCs w:val="19"/>
        </w:rPr>
        <w:t xml:space="preserve">The Arc:  </w:t>
      </w:r>
      <w:r>
        <w:rPr>
          <w:sz w:val="21"/>
          <w:szCs w:val="21"/>
        </w:rPr>
        <w:t xml:space="preserve">From the girl who fills the left column (Critic) instantly, to the girl who lets Hannah catch her Critic for her in a hallway, to the woman who learns the difference between a fault and a powerless loss.</w:t>
      </w:r>
    </w:p>
    <w:p>
      <w:pPr>
        <w:spacing w:after="50" w:before="150"/>
      </w:pPr>
      <w:r>
        <w:rPr>
          <w:b/>
          <w:bCs/>
          <w:color w:val="1F3A5F"/>
          <w:sz w:val="23"/>
          <w:szCs w:val="23"/>
        </w:rPr>
        <w:t xml:space="preserve">Darius — The Dog Kid</w:t>
      </w:r>
    </w:p>
    <w:p>
      <w:pPr>
        <w:spacing w:after="60"/>
        <w:ind w:left="120"/>
      </w:pPr>
      <w:r>
        <w:rPr>
          <w:b/>
          <w:bCs/>
          <w:color w:val="7A5A12"/>
          <w:sz w:val="19"/>
          <w:szCs w:val="19"/>
        </w:rPr>
        <w:t xml:space="preserve">The Core Wound:  </w:t>
      </w:r>
      <w:r>
        <w:rPr>
          <w:sz w:val="21"/>
          <w:szCs w:val="21"/>
        </w:rPr>
        <w:t xml:space="preserve">The parking lot. The stone he couldn’t put down. The fault vs. powerlessness distinction.</w:t>
      </w:r>
    </w:p>
    <w:p>
      <w:pPr>
        <w:spacing w:after="60"/>
        <w:ind w:left="120"/>
      </w:pPr>
      <w:r>
        <w:rPr>
          <w:b/>
          <w:bCs/>
          <w:color w:val="7A5A12"/>
          <w:sz w:val="19"/>
          <w:szCs w:val="19"/>
        </w:rPr>
        <w:t xml:space="preserve">The Arc:  </w:t>
      </w:r>
      <w:r>
        <w:rPr>
          <w:sz w:val="21"/>
          <w:szCs w:val="21"/>
        </w:rPr>
        <w:t xml:space="preserve">From the boy who made the basketball team by being scrappy, to the man who sits in the parking lot for two hours with a box on the seat. He is the kid who learns that the hardest mercy is extending the same grace to himself that he gives to others.</w:t>
      </w:r>
    </w:p>
    <w:p>
      <w:pPr>
        <w:spacing w:after="50" w:before="150"/>
      </w:pPr>
      <w:r>
        <w:rPr>
          <w:b/>
          <w:bCs/>
          <w:color w:val="1F3A5F"/>
          <w:sz w:val="23"/>
          <w:szCs w:val="23"/>
        </w:rPr>
        <w:t xml:space="preserve">Jordan — The Load-Bearing Funny</w:t>
      </w:r>
    </w:p>
    <w:p>
      <w:pPr>
        <w:spacing w:after="60"/>
        <w:ind w:left="120"/>
      </w:pPr>
      <w:r>
        <w:rPr>
          <w:b/>
          <w:bCs/>
          <w:color w:val="7A5A12"/>
          <w:sz w:val="19"/>
          <w:szCs w:val="19"/>
        </w:rPr>
        <w:t xml:space="preserve">The Core Wound:  </w:t>
      </w:r>
      <w:r>
        <w:rPr>
          <w:sz w:val="21"/>
          <w:szCs w:val="21"/>
        </w:rPr>
        <w:t xml:space="preserve">The “load-bearing funny.” The identity foreclosure of being the funny kid.</w:t>
      </w:r>
    </w:p>
    <w:p>
      <w:pPr>
        <w:spacing w:after="60"/>
        <w:ind w:left="120"/>
      </w:pPr>
      <w:r>
        <w:rPr>
          <w:b/>
          <w:bCs/>
          <w:color w:val="7A5A12"/>
          <w:sz w:val="19"/>
          <w:szCs w:val="19"/>
        </w:rPr>
        <w:t xml:space="preserve">The Arc:  </w:t>
      </w:r>
      <w:r>
        <w:rPr>
          <w:sz w:val="21"/>
          <w:szCs w:val="21"/>
        </w:rPr>
        <w:t xml:space="preserve">From the kid who uses humor to fill the silence, to the kid who is learning to take the mask off, to the man who realizes funny is not the most important thing about him. He is the kid who discovers the difference between the rehearsal and the show.</w:t>
      </w:r>
    </w:p>
    <w:p>
      <w:pPr>
        <w:spacing w:after="50" w:before="150"/>
      </w:pPr>
      <w:r>
        <w:rPr>
          <w:b/>
          <w:bCs/>
          <w:color w:val="1F3A5F"/>
          <w:sz w:val="23"/>
          <w:szCs w:val="23"/>
        </w:rPr>
        <w:t xml:space="preserve">Maya — The Quiet One</w:t>
      </w:r>
    </w:p>
    <w:p>
      <w:pPr>
        <w:spacing w:after="60"/>
        <w:ind w:left="120"/>
      </w:pPr>
      <w:r>
        <w:rPr>
          <w:b/>
          <w:bCs/>
          <w:color w:val="7A5A12"/>
          <w:sz w:val="19"/>
          <w:szCs w:val="19"/>
        </w:rPr>
        <w:t xml:space="preserve">The Core Wound:  </w:t>
      </w:r>
      <w:r>
        <w:rPr>
          <w:sz w:val="21"/>
          <w:szCs w:val="21"/>
        </w:rPr>
        <w:t xml:space="preserve">The door marked “make the thing even when no one is asking you to.” The door the world quietly underestimates.</w:t>
      </w:r>
    </w:p>
    <w:p>
      <w:pPr>
        <w:spacing w:after="60"/>
        <w:ind w:left="120"/>
      </w:pPr>
      <w:r>
        <w:rPr>
          <w:b/>
          <w:bCs/>
          <w:color w:val="7A5A12"/>
          <w:sz w:val="19"/>
          <w:szCs w:val="19"/>
        </w:rPr>
        <w:t xml:space="preserve">The Arc:  </w:t>
      </w:r>
      <w:r>
        <w:rPr>
          <w:sz w:val="21"/>
          <w:szCs w:val="21"/>
        </w:rPr>
        <w:t xml:space="preserve">From the girl who looks at the floor, to the girl who draws instead of speaking, to the woman who keeps painting and keeps her name off the ballots. She is the kid who proves the architecture holds when the world doesn’t count the door you walked through.</w:t>
      </w:r>
    </w:p>
    <w:p>
      <w:pPr>
        <w:spacing w:after="50" w:before="150"/>
      </w:pPr>
      <w:r>
        <w:rPr>
          <w:b/>
          <w:bCs/>
          <w:color w:val="1F3A5F"/>
          <w:sz w:val="23"/>
          <w:szCs w:val="23"/>
        </w:rPr>
        <w:t xml:space="preserve">Theo — The Watcher</w:t>
      </w:r>
    </w:p>
    <w:p>
      <w:pPr>
        <w:spacing w:after="60"/>
        <w:ind w:left="120"/>
      </w:pPr>
      <w:r>
        <w:rPr>
          <w:b/>
          <w:bCs/>
          <w:color w:val="7A5A12"/>
          <w:sz w:val="19"/>
          <w:szCs w:val="19"/>
        </w:rPr>
        <w:t xml:space="preserve">The Core Wound:  </w:t>
      </w:r>
      <w:r>
        <w:rPr>
          <w:sz w:val="21"/>
          <w:szCs w:val="21"/>
        </w:rPr>
        <w:t xml:space="preserve">The watcher who stopped watching. The man who missed it.</w:t>
      </w:r>
    </w:p>
    <w:p>
      <w:pPr>
        <w:spacing w:after="60"/>
        <w:ind w:left="120"/>
      </w:pPr>
      <w:r>
        <w:rPr>
          <w:b/>
          <w:bCs/>
          <w:color w:val="7A5A12"/>
          <w:sz w:val="19"/>
          <w:szCs w:val="19"/>
        </w:rPr>
        <w:t xml:space="preserve">The Arc:  </w:t>
      </w:r>
      <w:r>
        <w:rPr>
          <w:sz w:val="21"/>
          <w:szCs w:val="21"/>
        </w:rPr>
        <w:t xml:space="preserve">From the kid who comes in last and watches the room fill up, to the man who marries Bex, loses her because he stopped watching, and realizes he had traded a painful truth (powerlessness) for a comfortable lie (fault). He is the kid who learns that the watcher needs to be watched too.</w:t>
      </w:r>
    </w:p>
    <w:p>
      <w:pPr>
        <w:spacing w:after="50" w:before="150"/>
      </w:pPr>
      <w:r>
        <w:rPr>
          <w:b/>
          <w:bCs/>
          <w:color w:val="1F3A5F"/>
          <w:sz w:val="23"/>
          <w:szCs w:val="23"/>
        </w:rPr>
        <w:t xml:space="preserve">Mia — The Kid Who Moved Away</w:t>
      </w:r>
    </w:p>
    <w:p>
      <w:pPr>
        <w:spacing w:after="60"/>
        <w:ind w:left="120"/>
      </w:pPr>
      <w:r>
        <w:rPr>
          <w:b/>
          <w:bCs/>
          <w:color w:val="7A5A12"/>
          <w:sz w:val="19"/>
          <w:szCs w:val="19"/>
        </w:rPr>
        <w:t xml:space="preserve">The Core Wound:  </w:t>
      </w:r>
      <w:r>
        <w:rPr>
          <w:sz w:val="21"/>
          <w:szCs w:val="21"/>
        </w:rPr>
        <w:t xml:space="preserve">The empty tenth seat at the table. The missing tooth. The long phone thread. The bread dropped off at the door.</w:t>
      </w:r>
    </w:p>
    <w:p>
      <w:pPr>
        <w:spacing w:after="60"/>
        <w:ind w:left="120"/>
      </w:pPr>
      <w:r>
        <w:rPr>
          <w:b/>
          <w:bCs/>
          <w:color w:val="7A5A12"/>
          <w:sz w:val="19"/>
          <w:szCs w:val="19"/>
        </w:rPr>
        <w:t xml:space="preserve">The Arc:  </w:t>
      </w:r>
      <w:r>
        <w:rPr>
          <w:sz w:val="21"/>
          <w:szCs w:val="21"/>
        </w:rPr>
        <w:t xml:space="preserve">From the girl who leaves Room 12, to the girl who keeps the long phone thread alive from five hundred miles away, to the woman who finds the room with no number because she needs the table. She is the proof that distance does not break the architecture.</w:t>
      </w:r>
    </w:p>
    <w:p>
      <w:pPr>
        <w:spacing w:after="50" w:before="150"/>
      </w:pPr>
      <w:r>
        <w:rPr>
          <w:b/>
          <w:bCs/>
          <w:color w:val="1F3A5F"/>
          <w:sz w:val="23"/>
          <w:szCs w:val="23"/>
        </w:rPr>
        <w:t xml:space="preserve">Kezia — The Line-Holder</w:t>
      </w:r>
    </w:p>
    <w:p>
      <w:pPr>
        <w:spacing w:after="60"/>
        <w:ind w:left="120"/>
      </w:pPr>
      <w:r>
        <w:rPr>
          <w:b/>
          <w:bCs/>
          <w:color w:val="7A5A12"/>
          <w:sz w:val="19"/>
          <w:szCs w:val="19"/>
        </w:rPr>
        <w:t xml:space="preserve">The Core Wound:  </w:t>
      </w:r>
      <w:r>
        <w:rPr>
          <w:sz w:val="21"/>
          <w:szCs w:val="21"/>
        </w:rPr>
        <w:t xml:space="preserve">The grown-up who hurt her and her grandmother — the father whose name is not spoken in the house, who keeps sending letters that say “I have changed, please let me come back.” The line she has been drawing since she was a child who could quiet a room by deciding to.</w:t>
      </w:r>
    </w:p>
    <w:p>
      <w:pPr>
        <w:spacing w:after="60"/>
        <w:ind w:left="120"/>
      </w:pPr>
      <w:r>
        <w:rPr>
          <w:b/>
          <w:bCs/>
          <w:color w:val="7A5A12"/>
          <w:sz w:val="19"/>
          <w:szCs w:val="19"/>
        </w:rPr>
        <w:t xml:space="preserve">The Arc:  </w:t>
      </w:r>
      <w:r>
        <w:rPr>
          <w:sz w:val="21"/>
          <w:szCs w:val="21"/>
        </w:rPr>
        <w:t xml:space="preserve">From the six-year-old on Ms. Calloway’s carpet who learns “I love them, and I do not want them to come over,” to the freshman lying awake at 3 a.m. over an unread letter on the kitchen counter, to the eighteen-year-old who writes the letter herself — “I forgive you. I am not inviting you back in.” — to the nurse at thirty-six who forgives her dying father without ever seeing him. She is the kid who learns that forgiveness and trust are two different decisions: to forgive someone is not to let them back in — it is to stop letting them live, rent-free and furious, inside you. You can hold the line and set the anger down on your own side of it.</w:t>
      </w:r>
    </w:p>
    <w:p>
      <w:r>
        <w:br w:type="page"/>
      </w:r>
    </w:p>
    <w:p>
      <w:pPr>
        <w:spacing w:after="30" w:before="60"/>
      </w:pPr>
      <w:r>
        <w:rPr>
          <w:b/>
          <w:bCs/>
          <w:caps/>
          <w:color w:val="7A5A12"/>
          <w:sz w:val="18"/>
          <w:szCs w:val="18"/>
        </w:rPr>
        <w:t xml:space="preserve">Section Three</w:t>
      </w:r>
    </w:p>
    <w:p>
      <w:pPr>
        <w:pStyle w:val="Heading1"/>
      </w:pPr>
      <w:r>
        <w:t xml:space="preserve">A Letter from Ms. Calloway</w:t>
      </w:r>
    </w:p>
    <w:p>
      <w:pPr>
        <w:spacing w:after="140" w:before="0"/>
      </w:pPr>
      <w:r>
        <w:rPr>
          <w:i/>
          <w:iCs/>
          <w:color w:val="555555"/>
        </w:rPr>
        <w:t xml:space="preserve">To a Teacher Joining the Ecosystem Mid-Stream</w:t>
      </w:r>
    </w:p>
    <w:p>
      <w:pPr>
        <w:spacing w:after="120" w:before="0"/>
      </w:pPr>
      <w:r>
        <w:rPr>
          <w:i/>
          <w:iCs/>
          <w:sz w:val="22"/>
          <w:szCs w:val="22"/>
        </w:rPr>
        <w:t xml:space="preserve">You are walking into a room that already exists.</w:t>
      </w:r>
    </w:p>
    <w:p>
      <w:pPr>
        <w:spacing w:after="120" w:before="0"/>
      </w:pPr>
      <w:r>
        <w:t xml:space="preserve">I have been doing this for thirty years. You are walking into a room that has a rhythm. It has artifacts. It has ten kids in it who have been doing this since they were six years old. They have built something in this room. Your job is not to create the room. Your job is to guard it.</w:t>
      </w:r>
    </w:p>
    <w:p>
      <w:pPr>
        <w:spacing w:after="120" w:before="0"/>
      </w:pPr>
      <w:r>
        <w:t xml:space="preserve">I want to tell you a few things before you begin.</w:t>
      </w:r>
    </w:p>
    <w:p>
      <w:pPr>
        <w:pStyle w:val="Heading2"/>
      </w:pPr>
      <w:r>
        <w:t xml:space="preserve">About the Kids</w:t>
      </w:r>
    </w:p>
    <w:p>
      <w:pPr>
        <w:spacing w:after="120" w:before="0"/>
      </w:pPr>
      <w:r>
        <w:t xml:space="preserve">You will hear them refer to “the cohort.” There are ten of them. They are not a generic group of kids. They are Marcus, Amara, Sofia, Priya, Darius, Jordan, Maya, Theo, Mia, and Kezia. Some have been together since first grade. Some have been in and out of the cohort and back in. Some have been hurt by the world and are carrying things they haven’t told anyone yet.</w:t>
      </w:r>
    </w:p>
    <w:p>
      <w:pPr>
        <w:pStyle w:val="Heading2"/>
      </w:pPr>
      <w:r>
        <w:t xml:space="preserve">About the Tools</w:t>
      </w:r>
    </w:p>
    <w:p>
      <w:pPr>
        <w:spacing w:after="120" w:before="0"/>
      </w:pPr>
      <w:r>
        <w:t xml:space="preserve">You will hear them refer to the “toolkit.” They have been building it since they were six years old. It is not a worksheet. It is a practice. It lives in their bodies. Name the feeling. Find the body part it lives in. Ask if the story you are telling is true or just loud. Put down the stone. Go around the room.</w:t>
      </w:r>
    </w:p>
    <w:p>
      <w:pPr>
        <w:spacing w:after="120" w:before="0"/>
      </w:pPr>
      <w:r>
        <w:t xml:space="preserve">They know how to use the tools better than most adults I know. Do not re-teach them. Do not tell them to “take a deep breath.” They don’t need you to tell them how to use the tools. They need you to hold the space so they can use the tools themselves.</w:t>
      </w:r>
    </w:p>
    <w:p>
      <w:pPr>
        <w:pStyle w:val="Heading2"/>
      </w:pPr>
      <w:r>
        <w:t xml:space="preserve">About the Room</w:t>
      </w:r>
    </w:p>
    <w:p>
      <w:pPr>
        <w:spacing w:after="120" w:before="0"/>
      </w:pPr>
      <w:r>
        <w:t xml:space="preserve">The room needs to feel like Rosa’s basement: a room with no number. A place they choose. A place without a grade. A place where the going-around-the-room is the most important part of the week. It’s not an assignment. It’s a practice.</w:t>
      </w:r>
    </w:p>
    <w:p>
      <w:pPr>
        <w:pStyle w:val="Heading2"/>
      </w:pPr>
      <w:r>
        <w:t xml:space="preserve">About the Silence</w:t>
      </w:r>
    </w:p>
    <w:p>
      <w:pPr>
        <w:spacing w:after="120" w:before="0"/>
      </w:pPr>
      <w:r>
        <w:t xml:space="preserve">You will have students who stare at the floor. You will have students who say “I don’t know” to every prompt. You will have students who write intensely and then turn the paper face-down. Do not pull the answer out of them. Do not force it. The silence is the room working. Do not fill it.</w:t>
      </w:r>
    </w:p>
    <w:p>
      <w:pPr>
        <w:pStyle w:val="Heading2"/>
      </w:pPr>
      <w:r>
        <w:t xml:space="preserve">About the Safety Protocols</w:t>
      </w:r>
    </w:p>
    <w:p>
      <w:pPr>
        <w:spacing w:after="120" w:before="0"/>
      </w:pPr>
      <w:r>
        <w:t xml:space="preserve">There are lessons in this curriculum that carry real emotional risk. The risk flags are real. Read the safety protocols before you deliver those lessons. Talk to your counselor before you deliver those lessons. Follow them exactly.</w:t>
      </w:r>
    </w:p>
    <w:p>
      <w:pPr>
        <w:pStyle w:val="Heading2"/>
      </w:pPr>
      <w:r>
        <w:t xml:space="preserve">About the Sammy Ritual</w:t>
      </w:r>
    </w:p>
    <w:p>
      <w:pPr>
        <w:spacing w:after="120" w:before="0"/>
      </w:pPr>
      <w:r>
        <w:t xml:space="preserve">The room is a ritual space. The ritual matters. The transition from the social world of school to the interior work of this class relies on a predictable opening. Do not skip it. It is the threshold. Do not skip the threshold.</w:t>
      </w:r>
    </w:p>
    <w:p>
      <w:pPr>
        <w:pStyle w:val="Heading2"/>
      </w:pPr>
      <w:r>
        <w:t xml:space="preserve">About the Truth</w:t>
      </w:r>
    </w:p>
    <w:p>
      <w:pPr>
        <w:spacing w:after="120" w:before="0"/>
      </w:pPr>
      <w:r>
        <w:t xml:space="preserve">The going-around-the-room is not about performance. It is about truth. It is about saying the thing you would never say in a hallway. The thing under the headline. The thing you have been carrying. The thing you don’t want to say out loud.</w:t>
      </w:r>
    </w:p>
    <w:p>
      <w:pPr>
        <w:spacing w:after="120" w:before="0"/>
      </w:pPr>
      <w:r>
        <w:t xml:space="preserve">Do not rush it. When a student says the true thing, do not respond to the content. Respond to the courage.</w:t>
      </w:r>
    </w:p>
    <w:p>
      <w:pPr>
        <w:pBdr>
          <w:left w:val="single" w:color="B8893A" w:sz="18" w:space="10"/>
        </w:pBdr>
        <w:spacing w:after="160" w:before="40"/>
        <w:ind w:left="240"/>
      </w:pPr>
      <w:r>
        <w:rPr>
          <w:i/>
          <w:iCs/>
          <w:color w:val="1F3A5F"/>
          <w:sz w:val="22"/>
          <w:szCs w:val="22"/>
        </w:rPr>
        <w:t xml:space="preserve">“That is a real thing. Thank you for saying it. That is what this room is for.”</w:t>
      </w:r>
    </w:p>
    <w:p>
      <w:pPr>
        <w:pStyle w:val="Heading2"/>
      </w:pPr>
      <w:r>
        <w:t xml:space="preserve">About the Keystone</w:t>
      </w:r>
    </w:p>
    <w:p>
      <w:pPr>
        <w:spacing w:after="120" w:before="0"/>
      </w:pPr>
      <w:r>
        <w:t xml:space="preserve">Watch the one who runs the room. The one who asks the good question. The one who goes last. The one who puts her hand flat between shoulder blades. She is the keystone. She has been doing this since she was a child. She is the one nobody checks on. She is the one who holds the architecture together.</w:t>
      </w:r>
    </w:p>
    <w:p>
      <w:pPr>
        <w:spacing w:after="120" w:before="0"/>
      </w:pPr>
      <w:r>
        <w:t xml:space="preserve">Check on her. Not in front of the room. Quietly. Genuinely. Just check on her. Do not ask her if she’s okay. Tell her she is doing something real and you see it.</w:t>
      </w:r>
    </w:p>
    <w:p>
      <w:pPr>
        <w:pStyle w:val="Heading2"/>
      </w:pPr>
      <w:r>
        <w:t xml:space="preserve">About the End of the Year</w:t>
      </w:r>
    </w:p>
    <w:p>
      <w:pPr>
        <w:spacing w:after="120" w:before="0"/>
      </w:pPr>
      <w:r>
        <w:t xml:space="preserve">The year is not about adding tools. The year is about consolidating the architecture. The year is about realizing the toolkit doesn’t get bigger — you do. At the end of the year, the kids will walk out of the room. They will walk out into a world that does not have a number on the door. They will walk into rooms nobody assigned them. They will walk through doors they cannot see into. They will carry the room with them.</w:t>
      </w:r>
    </w:p>
    <w:p>
      <w:pPr>
        <w:spacing w:after="120" w:before="0"/>
      </w:pPr>
      <w:r>
        <w:t xml:space="preserve">Do not ruin the ending. Do not summarize it. Do not wrap it in a bow. Do not say “Great job this year.” That is the language of performance. This is the language of architecture.</w:t>
      </w:r>
    </w:p>
    <w:p>
      <w:pPr>
        <w:spacing w:after="120" w:before="80"/>
      </w:pPr>
      <w:r>
        <w:rPr>
          <w:b/>
          <w:bCs/>
        </w:rPr>
        <w:t xml:space="preserve">One last thing. The architecture does not require you to be perfect. The architecture requires you to be present. The architecture requires you to be honest. The architecture requires you to be human. Be the adult who makes them want to come back to the room with no number. Welcome to the room.</w:t>
      </w:r>
    </w:p>
    <w:p>
      <w:pPr>
        <w:spacing w:after="120" w:before="40"/>
      </w:pPr>
      <w:r>
        <w:rPr>
          <w:i/>
          <w:iCs/>
          <w:color w:val="1F3A5F"/>
        </w:rPr>
        <w:t xml:space="preserve">— Ms. Calloway</w:t>
      </w:r>
    </w:p>
    <w:p>
      <w:pPr>
        <w:pBdr>
          <w:top w:val="single" w:color="D9CFB8" w:sz="4" w:space="6"/>
        </w:pBdr>
        <w:spacing w:before="60"/>
      </w:pPr>
      <w:r>
        <w:rPr>
          <w:i/>
          <w:iCs/>
          <w:color w:val="555555"/>
          <w:sz w:val="18"/>
          <w:szCs w:val="18"/>
        </w:rPr>
        <w:t xml:space="preserve">(Note: You do not need me to tell you this. You already know it. But I wrote it down anyway. Read it again. Then put it somewhere you can see it. The framework depends on your consistency. The kids are counting on it.)</w:t>
      </w:r>
    </w:p>
    <w:sectPr>
      <w:headerReference w:type="default" r:id="rId7"/>
      <w:footerReference w:type="default" r:id="rId8"/>
      <w:pgSz w:w="12240" w:h="15840" w:orient="portrait"/>
      <w:pgMar w:top="1200" w:right="1500" w:bottom="12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architectureofgrace.org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The Architecture of Grace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3A3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pPr>
    <w:rPr>
      <w:rFonts w:ascii="Georgia" w:cs="Georgia" w:eastAsia="Georgia" w:hAnsi="Georgia"/>
      <w:b/>
      <w:bCs/>
      <w:color w:val="1F3A5F"/>
      <w:sz w:val="34"/>
      <w:szCs w:val="34"/>
    </w:rPr>
  </w:style>
  <w:style w:type="paragraph" w:styleId="Heading2">
    <w:name w:val="Heading 2"/>
    <w:basedOn w:val="Normal"/>
    <w:next w:val="Normal"/>
    <w:qFormat/>
    <w:pPr>
      <w:spacing w:after="70" w:before="180"/>
    </w:pPr>
    <w:rPr>
      <w:rFonts w:ascii="Arial" w:cs="Arial" w:eastAsia="Arial" w:hAnsi="Arial"/>
      <w:b/>
      <w:bCs/>
      <w:color w:val="7A5A1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Ecosystem Overview, Cohort Map &amp; Orientation Guide</dc:title>
  <dc:creator>Architecture of Grace</dc:creator>
  <cp:lastModifiedBy>Un-named</cp:lastModifiedBy>
  <cp:revision>1</cp:revision>
  <dcterms:created xsi:type="dcterms:W3CDTF">2026-06-23T00:31:02.221Z</dcterms:created>
  <dcterms:modified xsi:type="dcterms:W3CDTF">2026-06-23T00:31:02.221Z</dcterms:modified>
</cp:coreProperties>
</file>

<file path=docProps/custom.xml><?xml version="1.0" encoding="utf-8"?>
<Properties xmlns="http://schemas.openxmlformats.org/officeDocument/2006/custom-properties" xmlns:vt="http://schemas.openxmlformats.org/officeDocument/2006/docPropsVTypes"/>
</file>