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A1E33"/>
          <w:sz w:val="50"/>
          <w:szCs w:val="50"/>
        </w:rPr>
        <w:t xml:space="preserve">Architecture of Grace</w:t>
      </w:r>
    </w:p>
    <w:p>
      <w:pPr>
        <w:spacing w:after="40" w:before="120"/>
        <w:jc w:val="center"/>
      </w:pPr>
      <w:r>
        <w:rPr>
          <w:i/>
          <w:iCs/>
          <w:color w:val="7A5A12"/>
          <w:sz w:val="30"/>
          <w:szCs w:val="30"/>
        </w:rPr>
        <w:t xml:space="preserve">The Live Demo Playbook</w:t>
      </w:r>
    </w:p>
    <w:p>
      <w:pPr>
        <w:spacing w:after="500" w:before="40"/>
        <w:jc w:val="center"/>
      </w:pPr>
      <w:r>
        <w:rPr>
          <w:color w:val="6B7480"/>
          <w:sz w:val="19"/>
          <w:szCs w:val="19"/>
        </w:rPr>
        <w:t xml:space="preserve">A 10-minute and a 5-minute walkthrough — plus how to show the dignity split</w:t>
      </w:r>
    </w:p>
    <w:p>
      <w:pPr>
        <w:pBdr>
          <w:top w:val="single" w:color="B8893A" w:sz="4" w:space="8"/>
          <w:bottom w:val="single" w:color="B8893A" w:sz="4" w:space="8"/>
        </w:pBdr>
        <w:spacing w:after="120" w:before="200"/>
        <w:jc w:val="center"/>
      </w:pPr>
      <w:r>
        <w:rPr>
          <w:i/>
          <w:iCs/>
          <w:color w:val="2B3440"/>
          <w:sz w:val="20"/>
          <w:szCs w:val="20"/>
        </w:rPr>
        <w:t xml:space="preserve">The golden rule: they touch it, you stay quiet. Aim to talk for less than half the time. One result path, one idea at a time, then hand the device back.</w:t>
      </w:r>
    </w:p>
    <w:p>
      <w:pPr>
        <w:pStyle w:val="Heading1"/>
        <w:pageBreakBefore/>
        <w:pBdr>
          <w:bottom w:val="single" w:color="B8893A" w:sz="6" w:space="6"/>
        </w:pBdr>
        <w:spacing w:after="60" w:before="0"/>
      </w:pPr>
      <w:r>
        <w:rPr>
          <w:b/>
          <w:bCs/>
          <w:color w:val="0A1E33"/>
          <w:sz w:val="30"/>
          <w:szCs w:val="30"/>
        </w:rPr>
        <w:t xml:space="preserve">The 10-Minute Demo</w:t>
      </w:r>
    </w:p>
    <w:p>
      <w:pPr>
        <w:spacing w:after="180" w:line="276"/>
      </w:pPr>
      <w:r>
        <w:rPr>
          <w:i/>
          <w:iCs/>
          <w:color w:val="6B7480"/>
          <w:sz w:val="20"/>
          <w:szCs w:val="20"/>
        </w:rPr>
        <w:t xml:space="preserve">Before you start: site open to the home screen on a device you can hand over · pick the one audience hook from your card · plan to steer toward the “running low” tank result (it best shows the tool responding with care).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0:00–0:45  </w:t>
      </w:r>
      <w:r>
        <w:rPr>
          <w:b/>
          <w:bCs/>
          <w:color w:val="0A1E33"/>
          <w:sz w:val="20"/>
          <w:szCs w:val="20"/>
        </w:rPr>
        <w:t xml:space="preserve">Frame, then ask. </w:t>
      </w:r>
      <w:r>
        <w:rPr>
          <w:color w:val="2B3440"/>
          <w:sz w:val="20"/>
          <w:szCs w:val="20"/>
        </w:rPr>
        <w:t xml:space="preserve">— “Architecture of Grace is a framework for building a lifelong relationship with yourself and others — through identity, self-compassion, forgiveness, and grace. Let me show you in ten minutes.” Then: “What’s your biggest headache with student or staff wellbeing right now?” Listen.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0:45–2:30  </w:t>
      </w:r>
      <w:r>
        <w:rPr>
          <w:b/>
          <w:bCs/>
          <w:color w:val="0A1E33"/>
          <w:sz w:val="20"/>
          <w:szCs w:val="20"/>
        </w:rPr>
        <w:t xml:space="preserve">Hand them the device. </w:t>
      </w:r>
      <w:r>
        <w:rPr>
          <w:color w:val="2B3440"/>
          <w:sz w:val="20"/>
          <w:szCs w:val="20"/>
        </w:rPr>
        <w:t xml:space="preserve">— “Take the 60-second ‘How full is your tank?’ — answer honestly, it’s private.” Say nothing while they tap. This is the most important 90 seconds.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2:30–4:00  </w:t>
      </w:r>
      <w:r>
        <w:rPr>
          <w:b/>
          <w:bCs/>
          <w:color w:val="0A1E33"/>
          <w:sz w:val="20"/>
          <w:szCs w:val="20"/>
        </w:rPr>
        <w:t xml:space="preserve">The reveal: the next step. </w:t>
      </w:r>
      <w:r>
        <w:rPr>
          <w:color w:val="2B3440"/>
          <w:sz w:val="20"/>
          <w:szCs w:val="20"/>
        </w:rPr>
        <w:t xml:space="preserve">— “Notice — no score. A next step.” Point to the one concrete thing it surfaces. “Most tools tell you that someone’s struggling. This tells you what to do next.”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4:00–5:30  </w:t>
      </w:r>
      <w:r>
        <w:rPr>
          <w:b/>
          <w:bCs/>
          <w:color w:val="0A1E33"/>
          <w:sz w:val="20"/>
          <w:szCs w:val="20"/>
        </w:rPr>
        <w:t xml:space="preserve">Same tool, two people. </w:t>
      </w:r>
      <w:r>
        <w:rPr>
          <w:color w:val="2B3440"/>
          <w:sz w:val="20"/>
          <w:szCs w:val="20"/>
        </w:rPr>
        <w:t xml:space="preserve">— Toggle Child ↔ Adult. “A child only ever sees warmth; the clinical detail stays with the adult who can hold it. Same tool, two appropriate experiences.” (See the last page for exactly what to point at.)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5:30–7:00  </w:t>
      </w:r>
      <w:r>
        <w:rPr>
          <w:b/>
          <w:bCs/>
          <w:color w:val="0A1E33"/>
          <w:sz w:val="20"/>
          <w:szCs w:val="20"/>
        </w:rPr>
        <w:t xml:space="preserve">Show it reaches everyone. </w:t>
      </w:r>
      <w:r>
        <w:rPr>
          <w:color w:val="2B3440"/>
          <w:sz w:val="20"/>
          <w:szCs w:val="20"/>
        </w:rPr>
        <w:t xml:space="preserve">— Toggle read-aloud (let them hear it), turn on picture answers, flip to Spanish. “Built so a first-grader and a fluent adult both get all the way through.” Three quick toggles, no over-explaining.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7:00–8:00  </w:t>
      </w:r>
      <w:r>
        <w:rPr>
          <w:b/>
          <w:bCs/>
          <w:color w:val="0A1E33"/>
          <w:sz w:val="20"/>
          <w:szCs w:val="20"/>
        </w:rPr>
        <w:t xml:space="preserve">One tool, briefly. </w:t>
      </w:r>
      <w:r>
        <w:rPr>
          <w:color w:val="2B3440"/>
          <w:sz w:val="20"/>
          <w:szCs w:val="20"/>
        </w:rPr>
        <w:t xml:space="preserve">— Open the Quiet Space or Inner Coach. “When someone’s in a hard moment, there’s somewhere to go.” Thirty seconds. Pick one — don’t tour them all.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8:00–9:00  </w:t>
      </w:r>
      <w:r>
        <w:rPr>
          <w:b/>
          <w:bCs/>
          <w:color w:val="0A1E33"/>
          <w:sz w:val="20"/>
          <w:szCs w:val="20"/>
        </w:rPr>
        <w:t xml:space="preserve">Privacy, said plainly. </w:t>
      </w:r>
      <w:r>
        <w:rPr>
          <w:color w:val="2B3440"/>
          <w:sz w:val="20"/>
          <w:szCs w:val="20"/>
        </w:rPr>
        <w:t xml:space="preserve">— “No accounts, and nothing they entered ever left this device. Nothing stored, nothing sent anywhere.” For admins and district leaders, this is the close. Let it sit.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9:00–10:00  </w:t>
      </w:r>
      <w:r>
        <w:rPr>
          <w:b/>
          <w:bCs/>
          <w:color w:val="0A1E33"/>
          <w:sz w:val="20"/>
          <w:szCs w:val="20"/>
        </w:rPr>
        <w:t xml:space="preserve">Stop, then ask. </w:t>
      </w:r>
      <w:r>
        <w:rPr>
          <w:color w:val="2B3440"/>
          <w:sz w:val="20"/>
          <w:szCs w:val="20"/>
        </w:rPr>
        <w:t xml:space="preserve">— “That’s the whole thing.” Then: “Would it be worth piloting with one group?” or “Want me to send the one-pager?” Then quiet.</w:t>
      </w:r>
    </w:p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Adapt the emphasis, not the structure</w:t>
      </w:r>
    </w:p>
    <w:p>
      <w:pPr>
        <w:spacing w:after="7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Counselors → linger on the two-audience reveal. Admins / district → linger on privacy. Parents → linger on the warm result and the take-home line. Coaches / staff → the tank check basically is their demo.</w:t>
      </w:r>
    </w:p>
    <w:p>
      <w:pPr>
        <w:pStyle w:val="Heading1"/>
        <w:pageBreakBefore/>
        <w:pBdr>
          <w:bottom w:val="single" w:color="B8893A" w:sz="6" w:space="6"/>
        </w:pBdr>
        <w:spacing w:after="60" w:before="0"/>
      </w:pPr>
      <w:r>
        <w:rPr>
          <w:b/>
          <w:bCs/>
          <w:color w:val="0A1E33"/>
          <w:sz w:val="30"/>
          <w:szCs w:val="30"/>
        </w:rPr>
        <w:t xml:space="preserve">The 5-Minute “Elevator” Demo</w:t>
      </w:r>
    </w:p>
    <w:p>
      <w:pPr>
        <w:spacing w:after="180" w:line="276"/>
      </w:pPr>
      <w:r>
        <w:rPr>
          <w:i/>
          <w:iCs/>
          <w:color w:val="6B7480"/>
          <w:sz w:val="20"/>
          <w:szCs w:val="20"/>
        </w:rPr>
        <w:t xml:space="preserve">Same DNA, fewer beats. The one cut that matters: pick a single “power move” instead of showing everything.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0:00–0:30  </w:t>
      </w:r>
      <w:r>
        <w:rPr>
          <w:b/>
          <w:bCs/>
          <w:color w:val="0A1E33"/>
          <w:sz w:val="20"/>
          <w:szCs w:val="20"/>
        </w:rPr>
        <w:t xml:space="preserve">Frame + one question. </w:t>
      </w:r>
      <w:r>
        <w:rPr>
          <w:color w:val="2B3440"/>
          <w:sz w:val="20"/>
          <w:szCs w:val="20"/>
        </w:rPr>
        <w:t xml:space="preserve">— “Architecture of Grace is a framework for building a lifelong relationship with yourself and others — through identity, self-compassion, forgiveness, and grace. Give me five minutes.” Then your one question. Their answer tells you which power move to use.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0:30–2:00  </w:t>
      </w:r>
      <w:r>
        <w:rPr>
          <w:b/>
          <w:bCs/>
          <w:color w:val="0A1E33"/>
          <w:sz w:val="20"/>
          <w:szCs w:val="20"/>
        </w:rPr>
        <w:t xml:space="preserve">Hand it over. </w:t>
      </w:r>
      <w:r>
        <w:rPr>
          <w:color w:val="2B3440"/>
          <w:sz w:val="20"/>
          <w:szCs w:val="20"/>
        </w:rPr>
        <w:t xml:space="preserve">— “Take the 60-second tank check — answer honestly, it’s private.” Say nothing while they tap. Still the heart of it.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2:00–3:00  </w:t>
      </w:r>
      <w:r>
        <w:rPr>
          <w:b/>
          <w:bCs/>
          <w:color w:val="0A1E33"/>
          <w:sz w:val="20"/>
          <w:szCs w:val="20"/>
        </w:rPr>
        <w:t xml:space="preserve">The reveal. </w:t>
      </w:r>
      <w:r>
        <w:rPr>
          <w:color w:val="2B3440"/>
          <w:sz w:val="20"/>
          <w:szCs w:val="20"/>
        </w:rPr>
        <w:t xml:space="preserve">— “No score — a next step.” Point to the one concrete thing. “This tells you what to do next.” Let it land.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3:00–4:15  </w:t>
      </w:r>
      <w:r>
        <w:rPr>
          <w:b/>
          <w:bCs/>
          <w:color w:val="0A1E33"/>
          <w:sz w:val="20"/>
          <w:szCs w:val="20"/>
        </w:rPr>
        <w:t xml:space="preserve">One power move (pick from their answer): </w:t>
      </w:r>
      <w:r>
        <w:rPr>
          <w:color w:val="2B3440"/>
          <w:sz w:val="20"/>
          <w:szCs w:val="20"/>
        </w:rPr>
        <w:t xml:space="preserve">— Counselor / clinician / teacher → the dignity reveal (toggle Child ↔ Adult). Admin / district → privacy (“nothing left the device”). Parent → the warm take-home line. Choose ONE. Don’t do two.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4:15–4:45  </w:t>
      </w:r>
      <w:r>
        <w:rPr>
          <w:b/>
          <w:bCs/>
          <w:color w:val="0A1E33"/>
          <w:sz w:val="20"/>
          <w:szCs w:val="20"/>
        </w:rPr>
        <w:t xml:space="preserve">One inclusion flash. </w:t>
      </w:r>
      <w:r>
        <w:rPr>
          <w:color w:val="2B3440"/>
          <w:sz w:val="20"/>
          <w:szCs w:val="20"/>
        </w:rPr>
        <w:t xml:space="preserve">— A single toggle: read-aloud speaking, or flip to Spanish. “Built so everyone gets all the way through.” One toggle, not three.</w:t>
      </w:r>
    </w:p>
    <w:p>
      <w:pPr>
        <w:spacing w:after="90" w:line="268"/>
      </w:pPr>
      <w:r>
        <w:rPr>
          <w:b/>
          <w:bCs/>
          <w:color w:val="7A5A12"/>
          <w:sz w:val="20"/>
          <w:szCs w:val="20"/>
        </w:rPr>
        <w:t xml:space="preserve">4:45–5:00  </w:t>
      </w:r>
      <w:r>
        <w:rPr>
          <w:b/>
          <w:bCs/>
          <w:color w:val="0A1E33"/>
          <w:sz w:val="20"/>
          <w:szCs w:val="20"/>
        </w:rPr>
        <w:t xml:space="preserve">Stop, then ask. </w:t>
      </w:r>
      <w:r>
        <w:rPr>
          <w:color w:val="2B3440"/>
          <w:sz w:val="20"/>
          <w:szCs w:val="20"/>
        </w:rPr>
        <w:t xml:space="preserve">— “That’s the whole thing.” Then: “Worth piloting with one group?” Then quiet.</w:t>
      </w:r>
    </w:p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What you cut from the 10-minute version</w:t>
      </w:r>
    </w:p>
    <w:p>
      <w:pPr>
        <w:spacing w:after="7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The second audience walkthrough, the standalone tool tour, and any feature you’re tempted to add “real quick.” In five minutes, the discipline isn’t what you say — it’s what you leave out.</w:t>
      </w:r>
    </w:p>
    <w:p>
      <w:pPr>
        <w:pStyle w:val="Heading1"/>
        <w:pageBreakBefore/>
        <w:pBdr>
          <w:bottom w:val="single" w:color="B8893A" w:sz="6" w:space="6"/>
        </w:pBdr>
        <w:spacing w:after="60" w:before="0"/>
      </w:pPr>
      <w:r>
        <w:rPr>
          <w:b/>
          <w:bCs/>
          <w:color w:val="0A1E33"/>
          <w:sz w:val="30"/>
          <w:szCs w:val="30"/>
        </w:rPr>
        <w:t xml:space="preserve">How to Show the Dignity Split</w:t>
      </w:r>
    </w:p>
    <w:p>
      <w:pPr>
        <w:spacing w:after="180" w:line="276"/>
      </w:pPr>
      <w:r>
        <w:rPr>
          <w:i/>
          <w:iCs/>
          <w:color w:val="6B7480"/>
          <w:sz w:val="20"/>
          <w:szCs w:val="20"/>
        </w:rPr>
        <w:t xml:space="preserve">“A child only sees warmth; the clinical detail stays with the adult.” This isn’t a setting you flip — it’s automatic, driven by who the check-in is for. The Grace Compass result renders in one of two modes:</w:t>
      </w:r>
    </w:p>
    <w:tbl>
      <w:tblPr>
        <w:tblW w:type="dxa" w:w="9360"/>
        <w:tblBorders>
          <w:top w:val="single" w:color="E3D9BE" w:sz="2"/>
          <w:left w:val="single" w:color="E3D9BE" w:sz="2"/>
          <w:bottom w:val="single" w:color="E3D9BE" w:sz="2"/>
          <w:right w:val="single" w:color="E3D9BE" w:sz="2"/>
          <w:insideH w:val="single" w:color="E3D9BE" w:sz="2"/>
          <w:insideV w:val="single" w:color="E3D9BE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A1E3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pacing w:val="10"/>
                <w:sz w:val="17"/>
                <w:szCs w:val="17"/>
              </w:rPr>
              <w:t xml:space="preserve">STUDENT-SAFE MODE</w:t>
            </w:r>
          </w:p>
        </w:tc>
        <w:tc>
          <w:tcPr>
            <w:tcW w:type="dxa" w:w="4680"/>
            <w:shd w:fill="0A1E3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pacing w:val="10"/>
                <w:sz w:val="17"/>
                <w:szCs w:val="17"/>
              </w:rPr>
              <w:t xml:space="preserve">PRACTITIONER MODE</w:t>
            </w:r>
          </w:p>
        </w:tc>
      </w:tr>
      <w:tr>
        <w:tc>
          <w:tcPr>
            <w:tcW w:type="dxa" w:w="4680"/>
            <w:shd w:fill="FBF6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7A5A12"/>
                <w:sz w:val="18"/>
                <w:szCs w:val="18"/>
              </w:rPr>
              <w:t xml:space="preserve">K-12 / student record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7A5A12"/>
                <w:sz w:val="18"/>
                <w:szCs w:val="18"/>
              </w:rPr>
              <w:t xml:space="preserve">Adult / Educator record</w:t>
            </w:r>
          </w:p>
        </w:tc>
      </w:tr>
      <w:tr>
        <w:tc>
          <w:tcPr>
            <w:tcW w:type="dxa" w:w="4680"/>
            <w:shd w:fill="FBF6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2B3440"/>
                <w:sz w:val="18"/>
                <w:szCs w:val="18"/>
              </w:rPr>
              <w:t xml:space="preserve">Warm headers only: Your next step · A story that meets you here · Take this home.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2B3440"/>
                <w:sz w:val="18"/>
                <w:szCs w:val="18"/>
              </w:rPr>
              <w:t xml:space="preserve">Same core, plus the clinical layer: the ★ / ★★ risk flags, the suggested protocol, and the resource detail.</w:t>
            </w:r>
          </w:p>
        </w:tc>
      </w:tr>
    </w:tbl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The demo move (≈40 seconds)</w:t>
      </w:r>
    </w:p>
    <w:p>
      <w:pPr>
        <w:spacing w:after="5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1.  Take the Self-Reflection choosing a grade (K-12). When the result appears: “This is everything the child sees — warm, a story, one thing to take home. Notice what’s not here.”</w:t>
      </w:r>
    </w:p>
    <w:p>
      <w:pPr>
        <w:spacing w:after="7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2.  Take it again as Adult / Educator. Same result area now shows the practitioner version: “Same engine, same kind of answers — but now the risk flags and the protocol appear. That’s the layer a child never sees.”</w:t>
      </w:r>
    </w:p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What appears / disappears between the two</w:t>
      </w:r>
    </w:p>
    <w:p>
      <w:pPr>
        <w:spacing w:after="60" w:line="264"/>
      </w:pPr>
      <w:r>
        <w:rPr>
          <w:b/>
          <w:bCs/>
          <w:color w:val="B8893A"/>
          <w:sz w:val="20"/>
          <w:szCs w:val="20"/>
        </w:rPr>
        <w:t xml:space="preserve">•  </w:t>
      </w:r>
      <w:r>
        <w:rPr>
          <w:color w:val="2B3440"/>
          <w:sz w:val="20"/>
          <w:szCs w:val="20"/>
        </w:rPr>
        <w:t xml:space="preserve">The ★ / ★★ risk markers by the heading</w:t>
      </w:r>
    </w:p>
    <w:p>
      <w:pPr>
        <w:spacing w:after="60" w:line="264"/>
      </w:pPr>
      <w:r>
        <w:rPr>
          <w:b/>
          <w:bCs/>
          <w:color w:val="B8893A"/>
          <w:sz w:val="20"/>
          <w:szCs w:val="20"/>
        </w:rPr>
        <w:t xml:space="preserve">•  </w:t>
      </w:r>
      <w:r>
        <w:rPr>
          <w:color w:val="2B3440"/>
          <w:sz w:val="20"/>
          <w:szCs w:val="20"/>
        </w:rPr>
        <w:t xml:space="preserve">The protocol / risk note</w:t>
      </w:r>
    </w:p>
    <w:p>
      <w:pPr>
        <w:spacing w:after="60" w:line="264"/>
      </w:pPr>
      <w:r>
        <w:rPr>
          <w:b/>
          <w:bCs/>
          <w:color w:val="B8893A"/>
          <w:sz w:val="20"/>
          <w:szCs w:val="20"/>
        </w:rPr>
        <w:t xml:space="preserve">•  </w:t>
      </w:r>
      <w:r>
        <w:rPr>
          <w:color w:val="2B3440"/>
          <w:sz w:val="20"/>
          <w:szCs w:val="20"/>
        </w:rPr>
        <w:t xml:space="preserve">The fuller resource detail</w:t>
      </w:r>
    </w:p>
    <w:p>
      <w:pPr>
        <w:spacing w:after="70" w:line="268"/>
      </w:pPr>
      <w:r>
        <w:rPr>
          <w:b w:val="false"/>
          <w:bCs w:val="false"/>
          <w:i w:val="false"/>
          <w:iCs w:val="false"/>
          <w:color w:val="6B7480"/>
          <w:sz w:val="18"/>
          <w:szCs w:val="18"/>
        </w:rPr>
        <w:t xml:space="preserve">All three are present in the adult view and simply absent in the student one.</w:t>
      </w:r>
    </w:p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The deeper version (for counselors)</w:t>
      </w:r>
    </w:p>
    <w:p>
      <w:pPr>
        <w:spacing w:after="7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The same student record also shows the full clinical compass on the staff dashboard report — so a child sees warmth on their device, while the counselor pulling up that same record sees the flags. Same data, two audiences, enforced by the tool.</w:t>
      </w:r>
    </w:p>
    <w:p>
      <w:pPr>
        <w:spacing w:after="50" w:before="160"/>
      </w:pPr>
      <w:r>
        <w:rPr>
          <w:b/>
          <w:bCs/>
          <w:caps/>
          <w:color w:val="7A5A12"/>
          <w:spacing w:val="14"/>
          <w:sz w:val="18"/>
          <w:szCs w:val="18"/>
        </w:rPr>
        <w:t xml:space="preserve">If a technical buyer asks “is that real, or just hidden with CSS?”</w:t>
      </w:r>
    </w:p>
    <w:p>
      <w:pPr>
        <w:spacing w:after="40" w:line="268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It’s real. The engine is called with a “self” flag that removes the clinical content for students — it’s never generated for the student view at all. Nothing sensitive is rendered-then-hidden; it simply isn’t produced.</w:t>
      </w:r>
    </w:p>
    <w:p>
      <w:pPr>
        <w:pBdr>
          <w:top w:val="single" w:color="B8893A" w:sz="4" w:space="8"/>
        </w:pBdr>
        <w:spacing w:before="300"/>
        <w:jc w:val="center"/>
      </w:pPr>
      <w:r>
        <w:rPr>
          <w:i/>
          <w:iCs/>
          <w:color w:val="6B7480"/>
          <w:sz w:val="18"/>
          <w:szCs w:val="18"/>
        </w:rPr>
        <w:t xml:space="preserve">They touch it. You stay quiet. One idea, one ask, then silence.   ·   architectureofgrace.org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480"/>
        <w:sz w:val="16"/>
        <w:szCs w:val="16"/>
      </w:rPr>
      <w:t xml:space="preserve">Architecture of Grace · The Live Demo Playbook · Page </w:t>
    </w:r>
    <w:r>
      <w:rPr>
        <w:color w:val="6B7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of Grace — The Live Demo Playbook</dc:title>
  <dc:creator>Architecture of Grace</dc:creator>
  <cp:lastModifiedBy>Un-named</cp:lastModifiedBy>
  <cp:revision>1</cp:revision>
  <dcterms:created xsi:type="dcterms:W3CDTF">2026-06-20T04:19:24.616Z</dcterms:created>
  <dcterms:modified xsi:type="dcterms:W3CDTF">2026-06-20T04:19:24.616Z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