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0A1E33"/>
          <w:spacing w:val="60"/>
          <w:sz w:val="30"/>
          <w:szCs w:val="30"/>
        </w:rPr>
        <w:t xml:space="preserve">ARCHITECTURE OF GRACE</w:t>
      </w:r>
    </w:p>
    <w:p>
      <w:pPr>
        <w:spacing w:after="0" w:before="60"/>
        <w:jc w:val="center"/>
      </w:pPr>
      <w:r>
        <w:rPr>
          <w:i/>
          <w:iCs/>
          <w:color w:val="9A6F24"/>
          <w:sz w:val="22"/>
          <w:szCs w:val="22"/>
        </w:rPr>
        <w:t xml:space="preserve">School of Life Foundation</w:t>
      </w:r>
    </w:p>
    <w:p>
      <w:pPr>
        <w:pBdr>
          <w:bottom w:val="single" w:color="C9A24B" w:sz="8" w:space="8"/>
        </w:pBdr>
        <w:spacing w:after="0" w:before="480"/>
        <w:jc w:val="center"/>
      </w:pPr>
      <w:r>
        <w:rPr>
          <w:b/>
          <w:bCs/>
          <w:color w:val="0A1E33"/>
          <w:sz w:val="50"/>
          <w:szCs w:val="50"/>
        </w:rPr>
        <w:t xml:space="preserve">The Grace Trajectory</w:t>
      </w:r>
    </w:p>
    <w:p>
      <w:pPr>
        <w:spacing w:after="0" w:before="180"/>
        <w:jc w:val="center"/>
      </w:pPr>
      <w:r>
        <w:rPr>
          <w:color w:val="1A1A1A"/>
          <w:sz w:val="27"/>
          <w:szCs w:val="27"/>
        </w:rPr>
        <w:t xml:space="preserve">Multi-Year Data Layer — Technical Design</w:t>
      </w:r>
    </w:p>
    <w:p>
      <w:pPr>
        <w:spacing w:after="0" w:before="60"/>
        <w:jc w:val="center"/>
      </w:pPr>
      <w:r>
        <w:rPr>
          <w:i/>
          <w:iCs/>
          <w:color w:val="9A6F24"/>
          <w:sz w:val="20"/>
          <w:szCs w:val="20"/>
        </w:rPr>
        <w:t xml:space="preserve">Version 0.2 · Supersedes the v0.1 design spec</w:t>
      </w:r>
    </w:p>
    <w:p>
      <w:pPr>
        <w:spacing w:after="0" w:before="460"/>
        <w:jc w:val="center"/>
      </w:pPr>
      <w:r>
        <w:rPr>
          <w:b/>
          <w:bCs/>
          <w:color w:val="0A1E33"/>
          <w:sz w:val="21"/>
          <w:szCs w:val="21"/>
        </w:rPr>
        <w:t xml:space="preserve">Privacy-first · Sheets-first · School-owned · Portable-later</w:t>
      </w:r>
    </w:p>
    <w:p>
      <w:pPr>
        <w:spacing w:after="0" w:before="80"/>
        <w:jc w:val="center"/>
      </w:pPr>
      <w:r>
        <w:rPr>
          <w:i/>
          <w:iCs/>
          <w:color w:val="555555"/>
          <w:sz w:val="19"/>
          <w:szCs w:val="19"/>
        </w:rPr>
        <w:t xml:space="preserve">The instrument is already built. This document designs only the layer that makes it multi-year.</w:t>
      </w:r>
    </w:p>
    <w:p>
      <w:pPr>
        <w:spacing w:after="0" w:before="40"/>
        <w:jc w:val="center"/>
      </w:pPr>
      <w:r>
        <w:rPr>
          <w:color w:val="888888"/>
          <w:sz w:val="17"/>
          <w:szCs w:val="17"/>
        </w:rPr>
        <w:t xml:space="preserve">Prepared June 16, 2026 · Build referenced: 2026.06.13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 · Status &amp; what this document is</w:t>
      </w:r>
    </w:p>
    <w:p>
      <w:pPr>
        <w:spacing w:after="120" w:before="0" w:line="276"/>
      </w:pPr>
      <w:r>
        <w:rPr>
          <w:b/>
          <w:bCs/>
        </w:rPr>
        <w:t xml:space="preserve">Correction to the record. </w:t>
      </w:r>
      <w:r>
        <w:t xml:space="preserve">An earlier assessment called multi-year tracking the program’s “weakest leg,” implying the instrument was unbuilt. A close read of index.html shows that was wrong. The screener, scoring, tiers, windows, dashboard, and curriculum-linked recommendations are already built and are strong. The only thing missing is multi-year </w:t>
      </w:r>
      <w:r>
        <w:rPr>
          <w:i/>
          <w:iCs/>
        </w:rPr>
        <w:t xml:space="preserve">continuity</w:t>
      </w:r>
      <w:r>
        <w:t xml:space="preserve"> — making one student’s record durable and unbroken across years and grades. This document designs that one layer and nothing else.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A1E33" w:sz="18"/>
              <w:bottom w:val="single" w:color="CCCCCC" w:sz="1"/>
              <w:right w:val="single" w:color="CCCCCC" w:sz="1"/>
            </w:tcBorders>
            <w:shd w:fill="F1ECD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0A1E33"/>
                <w:sz w:val="19"/>
                <w:szCs w:val="19"/>
              </w:rPr>
              <w:t xml:space="preserve">The decision this document implements.  </w:t>
            </w:r>
            <w:r>
              <w:rPr>
                <w:sz w:val="21"/>
                <w:szCs w:val="21"/>
              </w:rPr>
              <w:t xml:space="preserve">Privacy-first, Sheets-first, school-owned, portable-later. The source of truth is the district’s own Google Sheet. The key is a durable, pseudonymous student code. The name-to-code map stays at the school. Nothing student-identifying lives in Architecture of Grace.</w:t>
            </w:r>
          </w:p>
        </w:tc>
      </w:tr>
    </w:tbl>
    <w:p>
      <w:pPr>
        <w:pStyle w:val="Heading1"/>
      </w:pPr>
      <w:r>
        <w:t xml:space="preserve">1 · What is already built (and must not be rebuilt)</w:t>
      </w:r>
    </w:p>
    <w:p>
      <w:pPr>
        <w:spacing w:after="120" w:before="0" w:line="276"/>
      </w:pPr>
      <w:r>
        <w:t xml:space="preserve">The data layer extends this; it does not replace any of it. Faithful inventory from the current build: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 implemented today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instrument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“The Quiet Space · K–12” — an 18-item, 3-domain universal SEL self-report (6 items/domain), EN/ES, child &amp; adult registers, Brief and Thorough modes.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Scoring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Reverse-keyed risk items auto-flipped; normalized 0–100 composite (normA / normB / normC) so any two responses compare directly regardless of mode.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Tiers (cut points)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0–49 Needs support · 50–74 Worth a reflection · 75–100 Doing well — mapped to MTSS intensive / targeted / universal. Item 18 (trusted adult) flags on its own.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Windows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 / Winter / Spring (Summer supported) — universal screening, ~4 minutes per student.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Domain cards, MTSS report, roster, CSV export, demo data, trend grid and column charts by window.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Lowest domain routes to the exact Book / Unit / chapter — the curriculum is the intervention.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School config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District ID, School ID, Class ID, Grade, Window set at launch (sessionStorage launch keys) and the lgDistrictId / lgSchoolId fields.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Sync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Each record POSTs to a Google Apps Script /exec Web App that appends to a Sheet; per-record synced flag (false=pending, true=synced, null=local-only); flushUnsynced retries when online.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 store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localStorage key aogScreener.v2.results — an array of records, device-local.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9A6F24" w:sz="18"/>
              <w:bottom w:val="single" w:color="CCCCCC" w:sz="1"/>
              <w:right w:val="single" w:color="CCCCCC" w:sz="1"/>
            </w:tcBorders>
            <w:shd w:fill="F1ECD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9A6F24"/>
                <w:sz w:val="19"/>
                <w:szCs w:val="19"/>
              </w:rPr>
              <w:t xml:space="preserve">The genius already in the code.  </w:t>
            </w:r>
            <w:r>
              <w:rPr>
                <w:sz w:val="21"/>
                <w:szCs w:val="21"/>
              </w:rPr>
              <w:t xml:space="preserve">Sync targets a Google Apps Script Web App, not a fixed AoG server. That means each school deploys the script against its own Sheet and controls its own columns and rules. The destination is the school’s — by design. The data layer leans into this rather than around it.</w:t>
            </w:r>
          </w:p>
        </w:tc>
      </w:tr>
    </w:tbl>
    <w:p>
      <w:pPr>
        <w:pStyle w:val="Heading1"/>
      </w:pPr>
      <w:r>
        <w:t xml:space="preserve">2 · The single gap — multi-year continuity</w:t>
      </w:r>
    </w:p>
    <w:p>
      <w:pPr>
        <w:spacing w:after="120" w:before="0" w:line="276"/>
      </w:pPr>
      <w:r>
        <w:t xml:space="preserve">Three concrete reasons today’s build is seasonal, not multi-year: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Windows collapse across years. Trends bucket by season name (“Fall”), so Fall 2025 and Fall 2026 merge into one column. There is no year dimension on the timeline.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Local store is device-bound. aogScreener.v2.results lives in one browser’s localStorage. A new iPad, a cleared cache, or next year’s classroom device starts the record over.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per-student line across grades. The dashboard shows class aggregates by window; nothing assembles one child’s composite as a continuous line from K upward.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A1E33" w:sz="18"/>
              <w:bottom w:val="single" w:color="CCCCCC" w:sz="1"/>
              <w:right w:val="single" w:color="CCCCCC" w:sz="1"/>
            </w:tcBorders>
            <w:shd w:fill="F1ECD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0A1E33"/>
                <w:sz w:val="19"/>
                <w:szCs w:val="19"/>
              </w:rPr>
              <w:t xml:space="preserve">Therefore.  </w:t>
            </w:r>
            <w:r>
              <w:rPr>
                <w:sz w:val="21"/>
                <w:szCs w:val="21"/>
              </w:rPr>
              <w:t xml:space="preserve">A K→12 line cannot live on a device. For schools that opt into tracking, the durable record must live in one shared, persistent place. That place is the school’s Google Sheet — which keeps the privacy promise intact, because the school owns it.</w:t>
            </w:r>
          </w:p>
        </w:tc>
      </w:tr>
    </w:tbl>
    <w:p>
      <w:pPr>
        <w:pStyle w:val="Heading1"/>
      </w:pPr>
      <w:r>
        <w:t xml:space="preserve">3 · Design principles (the four pillars as constraints)</w:t>
      </w:r>
    </w:p>
    <w:p>
      <w:pPr>
        <w:spacing w:after="120" w:before="0" w:line="276"/>
      </w:pPr>
      <w:r>
        <w:t xml:space="preserve">The live site makes four promises. Each becomes a hard design constraint for this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Site promise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Constraint on the data layer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“Nothing leaves the device unless you choose.”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Local-by-default stays. Durable sync is opt-in per school and only ever writes to that school’s destination.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“No vendor dashboards.”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 AoG-hosted database, no AoG accounts. The school’s Sheet is the system of record; AoG ships only the client.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“Teacher-built, not a boardroom.”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Schools configure their own Sheet, columns, and retention. The format is open and human-readable, not a proprietary store.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“One result → one precise action.”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stored record carries the tier and the lowest domain, so the trajectory always points back to the next lesson.</w:t>
            </w:r>
          </w:p>
        </w:tc>
      </w:tr>
    </w:tbl>
    <w:p>
      <w:pPr>
        <w:pStyle w:val="Heading1"/>
      </w:pPr>
      <w:r>
        <w:t xml:space="preserve">4 · The durable student record</w:t>
      </w:r>
    </w:p>
    <w:p>
      <w:pPr>
        <w:pStyle w:val="Heading2"/>
      </w:pPr>
      <w:r>
        <w:t xml:space="preserve">4.1 Year-qualified windows</w:t>
      </w:r>
    </w:p>
    <w:p>
      <w:pPr>
        <w:spacing w:after="120" w:before="0" w:line="276"/>
      </w:pPr>
      <w:r>
        <w:t xml:space="preserve">The one schema change that unlocks everything: qualify the window with its school year. </w:t>
      </w:r>
      <w:r>
        <w:rPr>
          <w:rFonts w:ascii="Consolas" w:cs="Consolas" w:eastAsia="Consolas" w:hAnsi="Consolas"/>
          <w:sz w:val="19"/>
          <w:szCs w:val="19"/>
        </w:rPr>
        <w:t xml:space="preserve">Fall</w:t>
      </w:r>
      <w:r>
        <w:t xml:space="preserve"> becomes </w:t>
      </w:r>
      <w:r>
        <w:rPr>
          <w:rFonts w:ascii="Consolas" w:cs="Consolas" w:eastAsia="Consolas" w:hAnsi="Consolas"/>
          <w:sz w:val="19"/>
          <w:szCs w:val="19"/>
        </w:rPr>
        <w:t xml:space="preserve">2025-FALL</w:t>
      </w:r>
      <w:r>
        <w:t xml:space="preserve">. Seasons then sit on a continuous, ordered timeline instead of collapsing.</w:t>
      </w:r>
    </w:p>
    <w:p>
      <w:pPr>
        <w:pStyle w:val="Heading2"/>
      </w:pPr>
      <w:r>
        <w:t xml:space="preserve">4.2 The record (one row per student, per window)</w:t>
      </w:r>
    </w:p>
    <w:p>
      <w:pPr>
        <w:spacing w:after="120" w:before="0" w:line="276"/>
      </w:pPr>
      <w:r>
        <w:t xml:space="preserve">A flat, portable row — exactly what appends cleanly to a Sheet and exports to CSV unchanged: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A1E33" w:sz="12"/>
              <w:bottom w:val="single" w:color="CCCCCC" w:sz="1"/>
              <w:right w:val="single" w:color="CCCCCC" w:sz="1"/>
            </w:tcBorders>
            <w:shd w:fill="EEF1F4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40" w:line="248"/>
            </w:pPr>
            <w:r>
              <w:rPr>
                <w:rFonts w:ascii="Consolas" w:cs="Consolas" w:eastAsia="Consolas" w:hAnsi="Consolas"/>
                <w:color w:val="1A2A3A"/>
                <w:sz w:val="18"/>
                <w:szCs w:val="18"/>
              </w:rPr>
              <w:t xml:space="preserve">{</w:t>
            </w:r>
          </w:p>
          <w:p>
            <w:pPr>
              <w:spacing w:after="40" w:line="248"/>
            </w:pPr>
            <w:r>
              <w:rPr>
                <w:rFonts w:ascii="Consolas" w:cs="Consolas" w:eastAsia="Consolas" w:hAnsi="Consolas"/>
                <w:color w:val="1A2A3A"/>
                <w:sz w:val="18"/>
                <w:szCs w:val="18"/>
              </w:rPr>
              <w:t xml:space="preserve">  student_code : "RM3B-7HQ4",   // pseudonymous, stable K→12, school-assigned</w:t>
            </w:r>
          </w:p>
          <w:p>
            <w:pPr>
              <w:spacing w:after="40" w:line="248"/>
            </w:pPr>
            <w:r>
              <w:rPr>
                <w:rFonts w:ascii="Consolas" w:cs="Consolas" w:eastAsia="Consolas" w:hAnsi="Consolas"/>
                <w:color w:val="1A2A3A"/>
                <w:sz w:val="18"/>
                <w:szCs w:val="18"/>
              </w:rPr>
              <w:t xml:space="preserve">  school_id    : "lincoln-east",  district_id: "lincoln-usd",</w:t>
            </w:r>
          </w:p>
          <w:p>
            <w:pPr>
              <w:spacing w:after="40" w:line="248"/>
            </w:pPr>
            <w:r>
              <w:rPr>
                <w:rFonts w:ascii="Consolas" w:cs="Consolas" w:eastAsia="Consolas" w:hAnsi="Consolas"/>
                <w:color w:val="1A2A3A"/>
                <w:sz w:val="18"/>
                <w:szCs w:val="18"/>
              </w:rPr>
              <w:t xml:space="preserve">  class_id     : "3B",  grade: "3",  band: "3-5",</w:t>
            </w:r>
          </w:p>
          <w:p>
            <w:pPr>
              <w:spacing w:after="40" w:line="248"/>
            </w:pPr>
            <w:r>
              <w:rPr>
                <w:rFonts w:ascii="Consolas" w:cs="Consolas" w:eastAsia="Consolas" w:hAnsi="Consolas"/>
                <w:color w:val="1A2A3A"/>
                <w:sz w:val="18"/>
                <w:szCs w:val="18"/>
              </w:rPr>
              <w:t xml:space="preserve">  window       : "2025-FALL",     // YEAR-qualified</w:t>
            </w:r>
          </w:p>
          <w:p>
            <w:pPr>
              <w:spacing w:after="40" w:line="248"/>
            </w:pPr>
            <w:r>
              <w:rPr>
                <w:rFonts w:ascii="Consolas" w:cs="Consolas" w:eastAsia="Consolas" w:hAnsi="Consolas"/>
                <w:color w:val="1A2A3A"/>
                <w:sz w:val="18"/>
                <w:szCs w:val="18"/>
              </w:rPr>
              <w:t xml:space="preserve">  mode         : "thorough",  form: "A",</w:t>
            </w:r>
          </w:p>
          <w:p>
            <w:pPr>
              <w:spacing w:after="40" w:line="248"/>
            </w:pPr>
            <w:r>
              <w:rPr>
                <w:rFonts w:ascii="Consolas" w:cs="Consolas" w:eastAsia="Consolas" w:hAnsi="Consolas"/>
                <w:color w:val="1A2A3A"/>
                <w:sz w:val="18"/>
                <w:szCs w:val="18"/>
              </w:rPr>
              <w:t xml:space="preserve">  normA: 52, normB: 60, normC: 53,  // 0–100 domain composites</w:t>
            </w:r>
          </w:p>
          <w:p>
            <w:pPr>
              <w:spacing w:after="40" w:line="248"/>
            </w:pPr>
            <w:r>
              <w:rPr>
                <w:rFonts w:ascii="Consolas" w:cs="Consolas" w:eastAsia="Consolas" w:hAnsi="Consolas"/>
                <w:color w:val="1A2A3A"/>
                <w:sz w:val="18"/>
                <w:szCs w:val="18"/>
              </w:rPr>
              <w:t xml:space="preserve">  composite    : 55,               // 0–100 overall</w:t>
            </w:r>
          </w:p>
          <w:p>
            <w:pPr>
              <w:spacing w:after="40" w:line="248"/>
            </w:pPr>
            <w:r>
              <w:rPr>
                <w:rFonts w:ascii="Consolas" w:cs="Consolas" w:eastAsia="Consolas" w:hAnsi="Consolas"/>
                <w:color w:val="1A2A3A"/>
                <w:sz w:val="18"/>
                <w:szCs w:val="18"/>
              </w:rPr>
              <w:t xml:space="preserve">  tier         : "Some Risk",      // derived from cut points</w:t>
            </w:r>
          </w:p>
          <w:p>
            <w:pPr>
              <w:spacing w:after="40" w:line="248"/>
            </w:pPr>
            <w:r>
              <w:rPr>
                <w:rFonts w:ascii="Consolas" w:cs="Consolas" w:eastAsia="Consolas" w:hAnsi="Consolas"/>
                <w:color w:val="1A2A3A"/>
                <w:sz w:val="18"/>
                <w:szCs w:val="18"/>
              </w:rPr>
              <w:t xml:space="preserve">  item18       : 1,                // trusted-adult flag input (0–3)</w:t>
            </w:r>
          </w:p>
          <w:p>
            <w:pPr>
              <w:spacing w:after="40" w:line="248"/>
            </w:pPr>
            <w:r>
              <w:rPr>
                <w:rFonts w:ascii="Consolas" w:cs="Consolas" w:eastAsia="Consolas" w:hAnsi="Consolas"/>
                <w:color w:val="1A2A3A"/>
                <w:sz w:val="18"/>
                <w:szCs w:val="18"/>
              </w:rPr>
              <w:t xml:space="preserve">  timestamp    : "2025-09-22T14:03Z",</w:t>
            </w:r>
          </w:p>
          <w:p>
            <w:pPr>
              <w:spacing w:after="40" w:line="248"/>
            </w:pPr>
            <w:r>
              <w:rPr>
                <w:rFonts w:ascii="Consolas" w:cs="Consolas" w:eastAsia="Consolas" w:hAnsi="Consolas"/>
                <w:color w:val="1A2A3A"/>
                <w:sz w:val="18"/>
                <w:szCs w:val="18"/>
              </w:rPr>
              <w:t xml:space="preserve">  synced       : true              // false=pending, null=local-only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2A3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A1E33" w:sz="18"/>
              <w:bottom w:val="single" w:color="CCCCCC" w:sz="1"/>
              <w:right w:val="single" w:color="CCCCCC" w:sz="1"/>
            </w:tcBorders>
            <w:shd w:fill="F1ECD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0A1E33"/>
                <w:sz w:val="19"/>
                <w:szCs w:val="19"/>
              </w:rPr>
              <w:t xml:space="preserve">No PII, ever.  </w:t>
            </w:r>
            <w:r>
              <w:rPr>
                <w:sz w:val="21"/>
                <w:szCs w:val="21"/>
              </w:rPr>
              <w:t xml:space="preserve">The row stores a code, never a name. There is no first name, last name, email, or free-text identifier in the synced record. The only thing that can re-identify a child is the school’s own code-to-name list — which never leaves the school.</w:t>
            </w:r>
          </w:p>
        </w:tc>
      </w:tr>
    </w:tbl>
    <w:p>
      <w:pPr>
        <w:pStyle w:val="Heading1"/>
      </w:pPr>
      <w:r>
        <w:t xml:space="preserve">5 · Identity — the pseudonymous student code</w:t>
      </w:r>
    </w:p>
    <w:p>
      <w:pPr>
        <w:spacing w:after="120" w:before="0" w:line="276"/>
      </w:pPr>
      <w:r>
        <w:t xml:space="preserve">The code is the spine of the whole layer: it is what makes two rows, taken two years apart on two devices, the same child.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Issued by the school. </w:t>
      </w:r>
      <w:r>
        <w:t xml:space="preserve">The school assigns each student a code (the field already exists: “a code you assign — not their name”). AoG never generates or holds the mapping.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Stable across years and devices. </w:t>
      </w:r>
      <w:r>
        <w:t xml:space="preserve">The same code is reused every window, every grade. Carried in the SIS, on a roster, or on a printed card the student reuses.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Pseudonymous, not anonymous. </w:t>
      </w:r>
      <w:r>
        <w:t xml:space="preserve">It can be linked back to a child — but only with the school’s separate list. That is the precise legal definition that must replace “de-identified” in the site and contracts (Section 8).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Transitions. </w:t>
      </w:r>
      <w:r>
        <w:t xml:space="preserve">Grade change: same code, new class_id/grade. School change within a district: same code, new school_id (line continues). Leaving the district: the record stays in the district’s Sheet; portability (Section 7) lets it move if policy allows.</w:t>
      </w:r>
    </w:p>
    <w:p>
      <w:pPr>
        <w:pStyle w:val="Heading1"/>
      </w:pPr>
      <w:r>
        <w:t xml:space="preserve">6 · System of record &amp; sync</w:t>
      </w:r>
    </w:p>
    <w:p>
      <w:pPr>
        <w:pStyle w:val="Heading2"/>
      </w:pPr>
      <w:r>
        <w:t xml:space="preserve">6.1 Truth vs. cache</w:t>
      </w:r>
    </w:p>
    <w:p>
      <w:pPr>
        <w:spacing w:after="120" w:before="0" w:line="276"/>
      </w:pPr>
      <w:r>
        <w:t xml:space="preserve">Invert one assumption: for a tracking-enabled school, the school’s Sheet is the source of truth and the device’s localStorage is a convenience cache for the current session. The daily, untracked, local-only use of the tool is unchanged for everyone else.</w:t>
      </w:r>
    </w:p>
    <w:p>
      <w:pPr>
        <w:pStyle w:val="Heading2"/>
      </w:pPr>
      <w:r>
        <w:t xml:space="preserve">6.2 Build on the existing path — one ownership change</w:t>
      </w:r>
    </w:p>
    <w:p>
      <w:pPr>
        <w:spacing w:after="120" w:before="0" w:line="276"/>
      </w:pPr>
      <w:r>
        <w:t xml:space="preserve">The mechanism already exists: </w:t>
      </w:r>
      <w:r>
        <w:rPr>
          <w:rFonts w:ascii="Consolas" w:cs="Consolas" w:eastAsia="Consolas" w:hAnsi="Consolas"/>
          <w:sz w:val="19"/>
          <w:szCs w:val="19"/>
        </w:rPr>
        <w:t xml:space="preserve">syncRecord()</w:t>
      </w:r>
      <w:r>
        <w:t xml:space="preserve"> POSTs each record to a Google Apps Script Web App (</w:t>
      </w:r>
      <w:r>
        <w:rPr>
          <w:rFonts w:ascii="Consolas" w:cs="Consolas" w:eastAsia="Consolas" w:hAnsi="Consolas"/>
          <w:sz w:val="19"/>
          <w:szCs w:val="19"/>
        </w:rPr>
        <w:t xml:space="preserve">SCHOOL_SYNC_URL</w:t>
      </w:r>
      <w:r>
        <w:t xml:space="preserve">) that appends to a Sheet. The only required change is whose endpoint that 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8B2A2A" w:sz="18"/>
              <w:bottom w:val="single" w:color="CCCCCC" w:sz="1"/>
              <w:right w:val="single" w:color="CCCCCC" w:sz="1"/>
            </w:tcBorders>
            <w:shd w:fill="F3DFD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0A1E33"/>
                <w:sz w:val="19"/>
                <w:szCs w:val="19"/>
              </w:rPr>
              <w:t xml:space="preserve">The blocker, precisely.  </w:t>
            </w:r>
            <w:r>
              <w:rPr>
                <w:sz w:val="21"/>
                <w:szCs w:val="21"/>
              </w:rPr>
              <w:t xml:space="preserve">Today SCHOOL_SYNC_URL can default to a founder-controlled script/Sheet — the audit’s “data routes to a personal Gmail” finding. Fix: a tracking school deploys ITS OWN Apps Script against ITS OWN Sheet and supplies that URL (and key) at launch. No district destination configured → no sync, local-only. Keep Google Sheets; change the owner.</w:t>
            </w:r>
          </w:p>
        </w:tc>
      </w:tr>
    </w:tbl>
    <w:p>
      <w:pPr>
        <w:pStyle w:val="Heading2"/>
      </w:pPr>
      <w:r>
        <w:t xml:space="preserve">6.3 How a school sets it up (no engineering required)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Copy the provided Sheet template (tabs: Results, one per school year; a Roster tab the school keeps private).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Deploy the provided Apps Script as a Web App (“execute as me, accessible to anyone with the link”) — this lives in the school’s Workspace.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Paste the resulting /exec URL and a passcode into the launch screen. Done — the school can add or reorder columns to meet its own requirements.</w:t>
      </w:r>
    </w:p>
    <w:p>
      <w:pPr>
        <w:pStyle w:val="Heading2"/>
      </w:pPr>
      <w:r>
        <w:t xml:space="preserve">6.4 Read path (what powers the trajectory)</w:t>
      </w:r>
    </w:p>
    <w:p>
      <w:pPr>
        <w:spacing w:after="120" w:before="0" w:line="276"/>
      </w:pPr>
      <w:r>
        <w:t xml:space="preserve">The dashboard reads the school’s Sheet back (the existing “pull synced rows” flow), filters by </w:t>
      </w:r>
      <w:r>
        <w:rPr>
          <w:rFonts w:ascii="Consolas" w:cs="Consolas" w:eastAsia="Consolas" w:hAnsi="Consolas"/>
          <w:sz w:val="19"/>
          <w:szCs w:val="19"/>
        </w:rPr>
        <w:t xml:space="preserve">student_code</w:t>
      </w:r>
      <w:r>
        <w:t xml:space="preserve">, orders by year-qualified window, and renders the line. Pulled rows are read-only and never written onto the device — preserving the current privacy behavior.</w:t>
      </w:r>
    </w:p>
    <w:p>
      <w:pPr>
        <w:pStyle w:val="Heading2"/>
      </w:pPr>
      <w:r>
        <w:t xml:space="preserve">6.5 Scale &amp; integrity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Partition to stay well under Sheet limits: one Sheet per school, one tab per school year. A 600-student school over 13 years is ~23k rows — comfortable.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The Apps Script enforces append-only writes and a passcode, reducing accidental edits and stray writes.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Offline writes queue locally (synced:false) and flush on reconnect — already implemented.</w:t>
      </w:r>
    </w:p>
    <w:p>
      <w:pPr>
        <w:pStyle w:val="Heading1"/>
      </w:pPr>
      <w:r>
        <w:t xml:space="preserve">7 · Portability (no lock-in, ever)</w:t>
      </w:r>
    </w:p>
    <w:p>
      <w:pPr>
        <w:spacing w:after="120" w:before="0" w:line="276"/>
      </w:pPr>
      <w:r>
        <w:t xml:space="preserve">Because the record is a flat row of plain fields, the same data moves anywhere without transformation: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CSV export already exists — the row IS the CSV line.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SIS / MTSS import: the column set maps directly to standard student-screening imports.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Future store: if a district ever wants a database, the same rows load unchanged. The design is backend-ready without requiring a backend.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9A6F24" w:sz="18"/>
              <w:bottom w:val="single" w:color="CCCCCC" w:sz="1"/>
              <w:right w:val="single" w:color="CCCCCC" w:sz="1"/>
            </w:tcBorders>
            <w:shd w:fill="F1ECD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9A6F24"/>
                <w:sz w:val="19"/>
                <w:szCs w:val="19"/>
              </w:rPr>
              <w:t xml:space="preserve">Why this matters for the brand.  </w:t>
            </w:r>
            <w:r>
              <w:rPr>
                <w:sz w:val="21"/>
                <w:szCs w:val="21"/>
              </w:rPr>
              <w:t xml:space="preserve">Portability is the proof behind “teacher-built, not a vendor platform.” A school can pick up its entire dataset and leave at any time, because the data was always theirs and always legible.</w:t>
            </w:r>
          </w:p>
        </w:tc>
      </w:tr>
    </w:tbl>
    <w:p>
      <w:pPr>
        <w:pStyle w:val="Heading1"/>
      </w:pPr>
      <w:r>
        <w:t xml:space="preserve">8 · Privacy &amp; compliance reconciliation</w:t>
      </w:r>
    </w:p>
    <w:p>
      <w:pPr>
        <w:spacing w:after="120" w:before="0" w:line="276"/>
      </w:pPr>
      <w:r>
        <w:t xml:space="preserve">This layer is the moment to align the language with the legal reality — which also closes two audit findings.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“De-identified” (used site-wide)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Replace with “pseudonymous.” A stable code linkable via the school’s list is, by definition, pseudonymous — not de-identified.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FERPA status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Treat the record as a FERPA education record held by the school. AoG is a school-directed tool, not the record-holder.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Personal-Gmail routing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Eliminated by Section 6.2 — the destination is the district’s own Sheet.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minimization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Enforced by schema — codes not names, no free-text PII in synced rows.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A1E33" w:sz="18"/>
              <w:bottom w:val="single" w:color="CCCCCC" w:sz="1"/>
              <w:right w:val="single" w:color="CCCCCC" w:sz="1"/>
            </w:tcBorders>
            <w:shd w:fill="F1ECD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0A1E33"/>
                <w:sz w:val="19"/>
                <w:szCs w:val="19"/>
              </w:rPr>
              <w:t xml:space="preserve">Net effect.  </w:t>
            </w:r>
            <w:r>
              <w:rPr>
                <w:sz w:val="21"/>
                <w:szCs w:val="21"/>
              </w:rPr>
              <w:t xml:space="preserve">Done this way, the multi-year layer strengthens the privacy story rather than threatening it: pseudonymous keys, school-owned destination, no AoG accounts, full portability. Every one of the four site promises gets more true, not less.</w:t>
            </w:r>
          </w:p>
        </w:tc>
      </w:tr>
    </w:tbl>
    <w:p>
      <w:pPr>
        <w:pStyle w:val="Heading1"/>
      </w:pPr>
      <w:r>
        <w:t xml:space="preserve">9 · The dashboard view this unlocks</w:t>
      </w:r>
    </w:p>
    <w:p>
      <w:pPr>
        <w:spacing w:after="120" w:before="0" w:line="276"/>
      </w:pPr>
      <w:r>
        <w:t xml:space="preserve">Specified and prototyped (see grace-trajectory-prototype.html). It is a drop-in dashboard component built entirely in the existing model — three domains, the tier cut points, year-qualified windows, the live palette.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Per-student: a continuous composite line across all windows and grades, with the three tier bands shaded behind it, “new grade” handoffs marked, and the Item-18 trusted-adult flag surfaced.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Per-window profile: the three domain composites with tier coloring, for the most recent window.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Tier journey: a colored dot per window showing movement between bands over years.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Class / grade: band composition per year-qualified window — the class average climbing across years.</w:t>
      </w:r>
    </w:p>
    <w:p>
      <w:pPr>
        <w:pStyle w:val="Heading1"/>
      </w:pPr>
      <w:r>
        <w:t xml:space="preserve">10 · Build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1500"/>
        <w:gridCol w:w="2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Unblocks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Year-qualify the window key everywhere it is written and read (2025-FALL).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Continuous timeline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Make the school-owned Apps Script + Sheet the configured destination; require a district URL for any tracking school (no founder default).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Durable record; closes audit blocker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the durable student_code as the record key; carry it through launch + sync + read.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Cross-year identity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the trajectory + class-movement views (prototype → dashboard).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visible payoff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Swap “de-identified” → “pseudonymous” site-wide; publish the Sheet template + setup guide.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Compliance + adoption</w:t>
            </w:r>
          </w:p>
        </w:tc>
      </w:tr>
    </w:tbl>
    <w:p>
      <w:pPr>
        <w:pStyle w:val="Heading1"/>
      </w:pPr>
      <w:r>
        <w:t xml:space="preserve">11 · Open decisions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Sheet template: ship one canonical template with a fixed core column order (recommended, so the dashboard read is reliable) while letting schools append their own extra columns?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Student-code format: school-defined free-form, or an AoG-suggested pattern (e.g. SCHOOL-CLASS-RANDOM) to reduce collisions?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Retention default in the template (e.g. archive tab after N years) — set a suggested default or leave entirely to the school?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Parent-facing trajectory: launch with it, or after one full year of data exists per student?</w:t>
      </w:r>
    </w:p>
    <w:p>
      <w:pPr>
        <w:spacing w:after="160"/>
      </w:pPr>
      <w:r>
        <w:t xml:space="preserve"/>
      </w:r>
    </w:p>
    <w:p>
      <w:pPr>
        <w:pBdr>
          <w:top w:val="single" w:color="C9A24B" w:sz="6" w:space="8"/>
        </w:pBdr>
        <w:spacing w:before="120"/>
      </w:pPr>
      <w:r>
        <w:rPr>
          <w:b/>
          <w:bCs/>
          <w:color w:val="0A1E33"/>
          <w:sz w:val="19"/>
          <w:szCs w:val="19"/>
        </w:rPr>
        <w:t xml:space="preserve">End of technical design. </w:t>
      </w:r>
      <w:r>
        <w:rPr>
          <w:i/>
          <w:iCs/>
          <w:color w:val="555555"/>
          <w:sz w:val="19"/>
          <w:szCs w:val="19"/>
        </w:rPr>
        <w:t xml:space="preserve">v0.2 — privacy-first, Sheets-first, school-owned, portable-later. The instrument is built; this is the layer that makes it multi-year.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· Privacy-first · Sheets-first · School-owned · Portable-later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color w:val="888888"/>
        <w:sz w:val="16"/>
        <w:szCs w:val="16"/>
      </w:rPr>
      <w:t xml:space="preserve">Architecture of Grace · Multi-Year Data Layer</w:t>
    </w:r>
    <w:r>
      <w:rPr>
        <w:color w:val="888888"/>
        <w:sz w:val="16"/>
        <w:szCs w:val="16"/>
      </w:rPr>
      <w:t xml:space="preserve">	Technical Design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4B" w:sz="6" w:space="6"/>
      </w:pBdr>
      <w:spacing w:after="150" w:before="300"/>
      <w:outlineLvl w:val="0"/>
    </w:pPr>
    <w:rPr>
      <w:rFonts w:ascii="Calibri" w:cs="Calibri" w:eastAsia="Calibri" w:hAnsi="Calibri"/>
      <w:b/>
      <w:bCs/>
      <w:color w:val="0A1E33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9A6F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Grace Trajectory — Multi-Year Data Layer Technical Design</dc:title>
  <dc:creator>Architecture of Grace</dc:creator>
  <cp:lastModifiedBy>Un-named</cp:lastModifiedBy>
  <cp:revision>1</cp:revision>
  <dcterms:created xsi:type="dcterms:W3CDTF">2026-06-16T16:51:17.227Z</dcterms:created>
  <dcterms:modified xsi:type="dcterms:W3CDTF">2026-06-16T16:51:17.227Z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