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B3A5F"/>
          <w:spacing w:val="60"/>
          <w:sz w:val="30"/>
          <w:szCs w:val="30"/>
        </w:rPr>
        <w:t xml:space="preserve">ARCHITECTURE OF GRACE</w:t>
      </w:r>
    </w:p>
    <w:p>
      <w:pPr>
        <w:spacing w:after="0" w:before="60"/>
        <w:jc w:val="center"/>
      </w:pPr>
      <w:r>
        <w:rPr>
          <w:i/>
          <w:iCs/>
          <w:color w:val="9A6F24"/>
          <w:sz w:val="22"/>
          <w:szCs w:val="22"/>
        </w:rPr>
        <w:t xml:space="preserve">School of Life Foundation</w:t>
      </w:r>
    </w:p>
    <w:p>
      <w:pPr>
        <w:pBdr>
          <w:bottom w:val="single" w:color="C9A24B" w:sz="8" w:space="8"/>
        </w:pBdr>
        <w:spacing w:after="0" w:before="520"/>
        <w:jc w:val="center"/>
      </w:pPr>
      <w:r>
        <w:rPr>
          <w:b/>
          <w:bCs/>
          <w:color w:val="1B3A5F"/>
          <w:sz w:val="52"/>
          <w:szCs w:val="52"/>
        </w:rPr>
        <w:t xml:space="preserve">The Grace Trajectory</w:t>
      </w:r>
    </w:p>
    <w:p>
      <w:pPr>
        <w:spacing w:after="0" w:before="200"/>
        <w:jc w:val="center"/>
      </w:pPr>
      <w:r>
        <w:rPr>
          <w:color w:val="1A1A1A"/>
          <w:sz w:val="26"/>
          <w:szCs w:val="26"/>
        </w:rPr>
        <w:t xml:space="preserve">A Multi-Year Social-Emotional Screener &amp; Tracking Layer</w:t>
      </w:r>
    </w:p>
    <w:p>
      <w:pPr>
        <w:spacing w:after="0" w:before="60"/>
        <w:jc w:val="center"/>
      </w:pPr>
      <w:r>
        <w:rPr>
          <w:i/>
          <w:iCs/>
          <w:color w:val="9A6F24"/>
          <w:sz w:val="20"/>
          <w:szCs w:val="20"/>
        </w:rPr>
        <w:t xml:space="preserve">Design Specification · Version 0.1 (for internal &amp; curriculum-team review)</w:t>
      </w:r>
    </w:p>
    <w:p>
      <w:pPr>
        <w:spacing w:after="0" w:before="520"/>
        <w:jc w:val="center"/>
      </w:pPr>
      <w:r>
        <w:rPr>
          <w:color w:val="1A1A1A"/>
          <w:sz w:val="20"/>
          <w:szCs w:val="20"/>
        </w:rPr>
        <w:t xml:space="preserve">mySAEBRS-inspired · AoG-native · Built on the five Grace competencies</w:t>
      </w:r>
    </w:p>
    <w:p>
      <w:pPr>
        <w:spacing w:after="0" w:before="40"/>
        <w:jc w:val="center"/>
      </w:pPr>
      <w:r>
        <w:rPr>
          <w:color w:val="666666"/>
          <w:sz w:val="18"/>
          <w:szCs w:val="18"/>
        </w:rPr>
        <w:t xml:space="preserve">Prepared June 16, 2026 · Companion to the GAPA and the Universal Check-In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 · What this document is</w:t>
      </w:r>
    </w:p>
    <w:p>
      <w:pPr>
        <w:spacing w:after="120" w:before="0" w:line="276"/>
      </w:pPr>
      <w:r>
        <w:t xml:space="preserve">Goal 2 of Architecture of Grace is to be a multi-year check-in device that mirrors a mySAEBRS-style behavior program — a brief, repeatable screener that schools run at fixed windows and read as a trend across years. This spec defines that missing layer: an instrument, a scoring model, a durable student-record design, and a trajectory view, all built on the five Grace competencies your curriculum team already authored.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9A6F24" w:sz="18"/>
              <w:bottom w:val="single" w:color="CCCCCC" w:sz="1"/>
              <w:right w:val="single" w:color="CCCCCC" w:sz="1"/>
            </w:tcBorders>
            <w:shd w:fill="F1ECD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9A6F24"/>
                <w:sz w:val="19"/>
                <w:szCs w:val="19"/>
              </w:rPr>
              <w:t xml:space="preserve">Scope.  </w:t>
            </w:r>
            <w:r>
              <w:rPr>
                <w:sz w:val="21"/>
                <w:szCs w:val="21"/>
              </w:rPr>
              <w:t xml:space="preserve">This is a design specification, not a build. It defines what to build and the decisions to make first. It is AoG-native by your direction: it borrows the proven structure of mySAEBRS/SAEBRS (brief, periodic, banded, trended) but uses your own competencies, language, and developmental bands rather than copying any existing instrument’s items.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0" w:line="276"/>
      </w:pPr>
      <w:r>
        <w:rPr>
          <w:b/>
          <w:bCs/>
        </w:rPr>
        <w:t xml:space="preserve">Why a screener, and why now. </w:t>
      </w:r>
      <w:r>
        <w:t xml:space="preserve">You already have two assessment altitudes — a continuous daily check-in and a deep, rater-intensive performance task (the GAPA). Neither is a longitudinal screener: the check-in is in-the-moment and stored on-device, and the GAPA is sampled and too costly to run universally three times a year. The screener is the middle altitude that turns isolated moments into a multi-year line.</w:t>
      </w:r>
    </w:p>
    <w:p>
      <w:pPr>
        <w:pStyle w:val="Heading1"/>
      </w:pPr>
      <w:r>
        <w:t xml:space="preserve">1 · The assessment architecture (where the screener fits)</w:t>
      </w:r>
    </w:p>
    <w:p>
      <w:pPr>
        <w:spacing w:after="120" w:before="0" w:line="276"/>
      </w:pPr>
      <w:r>
        <w:t xml:space="preserve">The screener does not replace anything. It completes a three-altitude system in which all three layers measure the same five competencies — one construct, three levels of inferential strength. This is the same triangulation logic the GAPA document already commits to; the screener supplies the universal, repeatable leg.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480"/>
        <w:gridCol w:w="268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Cadence &amp; reach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 for tracking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Daily Check-In (exists)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In-the-moment self-reflection in the web app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time; whoever opens it; device-local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Formative &amp; supportive — NOT a tracking measure. Builds the habit; feeds reflection.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Grace Trajectory Screener (this spec)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Brief fixed-item self-report, scored to bands, same items each window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 windows/year (Fall / Winter / Spring), universal, every grade band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multi-year device. Produces the per-student trend and class/grade movement.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GAPA (designed, not built)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1:1 behavioral performance task with trained raters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Pre/post, sampled subset, research windows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Confirmatory depth — validates that the screener’s self-report tracks real behavior.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9A6F24" w:sz="18"/>
              <w:bottom w:val="single" w:color="CCCCCC" w:sz="1"/>
              <w:right w:val="single" w:color="CCCCCC" w:sz="1"/>
            </w:tcBorders>
            <w:shd w:fill="F1ECD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9A6F24"/>
                <w:sz w:val="19"/>
                <w:szCs w:val="19"/>
              </w:rPr>
              <w:t xml:space="preserve">Design rule.  </w:t>
            </w:r>
            <w:r>
              <w:rPr>
                <w:sz w:val="21"/>
                <w:szCs w:val="21"/>
              </w:rPr>
              <w:t xml:space="preserve">Because all three altitudes share the five competencies, a child’s screener profile, daily reflections, and any GAPA result speak the same language. When self-report (screener), habit (check-in), and observed skill (GAPA) converge, a reviewer believes the finding. That convergence is the credibility story.</w:t>
            </w:r>
          </w:p>
        </w:tc>
      </w:tr>
    </w:tbl>
    <w:p>
      <w:pPr>
        <w:pStyle w:val="Heading1"/>
      </w:pPr>
      <w:r>
        <w:t xml:space="preserve">2 · Design principles — borrowed structure, AoG-native content</w:t>
      </w:r>
    </w:p>
    <w:p>
      <w:pPr>
        <w:pStyle w:val="Heading2"/>
      </w:pPr>
      <w:r>
        <w:t xml:space="preserve">2.1 What we adopt from the mySAEBRS/SAEBRS model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Brief by design. Short enough to run universally and repeatedly without disrupting class — target under 4 minutes.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Fixed item set. The same items every window, so a change in score means a change in the child, not the questions.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Frequency response scale. Items are scored on how often, not yes/no — the standard four-point frequency anchor.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Periodic benchmark windows. Three fixed windows a year, the SEB-screening norm, so data is comparable window-to-window and year-over-year.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Banded results with cut scores. Scores roll up into a small number of support bands, mapped to MTSS tiers — actionable, not just a number.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Profile, not just a total. A per-competency profile is reported alongside the total, because the pattern is the useful information.</w:t>
      </w:r>
    </w:p>
    <w:p>
      <w:pPr>
        <w:pStyle w:val="Heading2"/>
      </w:pPr>
      <w:r>
        <w:t xml:space="preserve">2.2 What stays AoG-native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subscales are your five competencies, not generic SEL domains.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Items are written in Grace language and behaviorally framed, calibrated per developmental band.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“grace is not a doormat” rule is encoded in scoring — a healthy boundary scores high, compliance never substitutes for virtue.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Delivery uses your existing developmental ladder (Sammy puppet at K–2 through an adult self-audit).</w:t>
      </w:r>
    </w:p>
    <w:p>
      <w:pPr>
        <w:pStyle w:val="Heading1"/>
      </w:pPr>
      <w:r>
        <w:t xml:space="preserve">3 · The instrument</w:t>
      </w:r>
    </w:p>
    <w:p>
      <w:pPr>
        <w:pStyle w:val="Heading2"/>
      </w:pPr>
      <w:r>
        <w:t xml:space="preserve">3.1 Subscales — the five Grace competencies</w:t>
      </w:r>
    </w:p>
    <w:p>
      <w:pPr>
        <w:spacing w:after="120" w:before="0" w:line="276"/>
      </w:pPr>
      <w:r>
        <w:t xml:space="preserve">Each competency from the GAPA becomes a screener subscale. The screener measures the same construct as the GAPA, but through brief self-report rather than an observed task.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1740"/>
        <w:gridCol w:w="174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Competency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The distinction it enacts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CASEL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Pause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Feelings are messengers — regulate before reacting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Self-management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Charitable Read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Benefit of the doubt — a benign reading of an ambiguous act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Social awareness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Coach Voice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inside voice is a choice — self-compassion after a mistake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Self-awareness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Repair Move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Identity is not behavior — own it, name impact, offer a fix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Relationship skills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Release / Boundary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Put it down — release rumination AND keep a healthy line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Self-management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0" w:line="276"/>
      </w:pPr>
      <w:r>
        <w:rPr>
          <w:b/>
          <w:bCs/>
        </w:rPr>
        <w:t xml:space="preserve">Length. </w:t>
      </w:r>
      <w:r>
        <w:t xml:space="preserve">15 core items (3 per competency) is the target for grades 3–adult. K–2 uses a reduced 10-item form (2 per competency). Three items per subscale keeps the total brief while giving each competency more than a single point of measurement.</w:t>
      </w:r>
    </w:p>
    <w:p>
      <w:pPr>
        <w:pStyle w:val="Heading2"/>
      </w:pPr>
      <w:r>
        <w:t xml:space="preserve">3.2 The response scale</w:t>
      </w:r>
    </w:p>
    <w:p>
      <w:pPr>
        <w:spacing w:after="120" w:before="0" w:line="276"/>
      </w:pPr>
      <w:r>
        <w:t xml:space="preserve">A four-point frequency scale, scored 0–3, with no neutral midpoint (to avoid fence-sitting). Younger bands get an icon/face version of the same four 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 · Almost never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 · Sometimes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 · Often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 · Almost always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“This isn’t me yet”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“Once in a while”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“Most of the time”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“This is just what I do”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9A6F24" w:sz="18"/>
              <w:bottom w:val="single" w:color="CCCCCC" w:sz="1"/>
              <w:right w:val="single" w:color="CCCCCC" w:sz="1"/>
            </w:tcBorders>
            <w:shd w:fill="F1ECD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9A6F24"/>
                <w:sz w:val="19"/>
                <w:szCs w:val="19"/>
              </w:rPr>
              <w:t xml:space="preserve">Reverse-keyed items.  </w:t>
            </w:r>
            <w:r>
              <w:rPr>
                <w:sz w:val="21"/>
                <w:szCs w:val="21"/>
              </w:rPr>
              <w:t xml:space="preserve">A minority of items are written in the negative (e.g., “When someone bumps me, I figure they did it on purpose”) and reverse-scored. This guards against a child clicking the same column down the page, a known weakness of brief self-report.</w:t>
            </w:r>
          </w:p>
        </w:tc>
      </w:tr>
    </w:tbl>
    <w:p>
      <w:pPr>
        <w:pStyle w:val="Heading2"/>
      </w:pPr>
      <w:r>
        <w:t xml:space="preserve">3.3 The item bank (illustrative — grades 3–5 wording)</w:t>
      </w:r>
    </w:p>
    <w:p>
      <w:pPr>
        <w:spacing w:after="120" w:before="0" w:line="276"/>
      </w:pPr>
      <w:r>
        <w:t xml:space="preserve">Sample items, one developmental band shown. Each is a behavior stated in the first person and scored on frequency. These are placeholders for your curriculum team to finalize and for the equity panel to review; they show the intended shape, not the final wording.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160"/>
        <w:gridCol w:w="1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Competency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Sample item (grades 3–5)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Pause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 something upsets me, I stop and take a breath before I do anything.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Pause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 do things in the heat of the moment and wish I hadn’t.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Charitable Read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 someone bumps me or messes up, I think maybe it was an accident.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Charitable Read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 someone bumps me, I figure they did it on purpose.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Coach Voice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 I make a mistake, I talk to myself kindly instead of calling myself names.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Repair Move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After I hurt someone, I own what I did and try to make it right.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Release / Boundary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 can let an embarrassing moment go instead of replaying it again and again.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Release / Boundary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 can stay kind to someone and still say no when something isn’t right.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+ (boundary)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9A6F24" w:sz="18"/>
              <w:bottom w:val="single" w:color="CCCCCC" w:sz="1"/>
              <w:right w:val="single" w:color="CCCCCC" w:sz="1"/>
            </w:tcBorders>
            <w:shd w:fill="F1ECD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9A6F24"/>
                <w:sz w:val="19"/>
                <w:szCs w:val="19"/>
              </w:rPr>
              <w:t xml:space="preserve">The boundary item is deliberate.  </w:t>
            </w:r>
            <w:r>
              <w:rPr>
                <w:sz w:val="21"/>
                <w:szCs w:val="21"/>
              </w:rPr>
              <w:t xml:space="preserve">Mirroring the GAPA’s “Exclusion Push” scenario, the Release/Boundary subscale includes an item where the high score goes to a child who stays kind AND holds a line — never to one who simply goes along. Self-protection is scored high, by rule.</w:t>
            </w:r>
          </w:p>
        </w:tc>
      </w:tr>
    </w:tbl>
    <w:p>
      <w:pPr>
        <w:pStyle w:val="Heading2"/>
      </w:pPr>
      <w:r>
        <w:t xml:space="preserve">3.4 Parallel forms</w:t>
      </w:r>
    </w:p>
    <w:p>
      <w:pPr>
        <w:spacing w:after="120" w:before="0" w:line="276"/>
      </w:pPr>
      <w:r>
        <w:t xml:space="preserve">To blunt practice and memory effects across repeated windows, the item bank holds two equivalent forms (A / B) with the same demand and difficulty but different surface wording. Forms alternate by window — the same parallel-forms discipline the GAPA already uses for pre/post.</w:t>
      </w:r>
    </w:p>
    <w:p>
      <w:pPr>
        <w:pStyle w:val="Heading1"/>
      </w:pPr>
      <w:r>
        <w:t xml:space="preserve">4 · Scoring, bands &amp; MTSS mapping</w:t>
      </w:r>
    </w:p>
    <w:p>
      <w:pPr>
        <w:pStyle w:val="Heading2"/>
      </w:pPr>
      <w:r>
        <w:t xml:space="preserve">4.1 Two outputs every window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 five-competency profile (each subscale 0–9 on the 3-item form, scaled to 0–100 for display). The profile is the primary read — a child may be strong on Repair and emerging on Pause, and that shape is the point.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 single total / overall band, for screening triage and for the trend line. The total never overrides the profile.</w:t>
      </w:r>
    </w:p>
    <w:p>
      <w:pPr>
        <w:pStyle w:val="Heading2"/>
      </w:pPr>
      <w:r>
        <w:t xml:space="preserve">4.2 Support bands (provisional cut scores)</w:t>
      </w:r>
    </w:p>
    <w:p>
      <w:pPr>
        <w:spacing w:after="120" w:before="0" w:line="276"/>
      </w:pPr>
      <w:r>
        <w:t xml:space="preserve">Scores roll up into four AoG-named support bands that map directly to the MTSS tiers your dashboard already uses. The cut scores below are provisional starting points for the pilot — they MUST be replaced by local norms once enough data is collected (Section 9).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8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MTSS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(0–100)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 &amp; response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Flourishing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Tier 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75–100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Skill is consistent. Celebrate; keep core instruction.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Growing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Tier 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55–74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On track; normal developmental range. Universal support.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Needs Support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Tier 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40–54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Some risk; watch the profile. Targeted small-group or competency-specific support.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Priority Support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Tier 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0–39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Elevated risk. Individualized support; flag for the support team.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9A6F24" w:sz="18"/>
              <w:bottom w:val="single" w:color="CCCCCC" w:sz="1"/>
              <w:right w:val="single" w:color="CCCCCC" w:sz="1"/>
            </w:tcBorders>
            <w:shd w:fill="F1ECD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9A6F24"/>
                <w:sz w:val="19"/>
                <w:szCs w:val="19"/>
              </w:rPr>
              <w:t xml:space="preserve">Fairness rule (carried from the GAPA).  </w:t>
            </w:r>
            <w:r>
              <w:rPr>
                <w:sz w:val="21"/>
                <w:szCs w:val="21"/>
              </w:rPr>
              <w:t xml:space="preserve">A justified boundary or refusal to harm always scores HIGH. The screener never rewards compliance as if it were grace, and never penalizes self-protection. Item content and anchors must pass the equity panel’s review and a differential-item-functioning (DIF) check before any band is treated as meaningful.</w:t>
            </w:r>
          </w:p>
        </w:tc>
      </w:tr>
    </w:tbl>
    <w:p>
      <w:pPr>
        <w:pStyle w:val="Heading2"/>
      </w:pPr>
      <w:r>
        <w:t xml:space="preserve">4.3 What a band is NOT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Not a grade, not a diagnosis, not a placement decision.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Not high-stakes until validated — until Section 9 is met, bands inform support and research only, exactly as the GAPA protocol requires of itself.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Not a label for a child — “Priority Support” names a level of adult support owed, not a judgment of the student.</w:t>
      </w:r>
    </w:p>
    <w:p>
      <w:pPr>
        <w:pStyle w:val="Heading1"/>
      </w:pPr>
      <w:r>
        <w:t xml:space="preserve">5 · Developmental delivery (the K→adult ladder)</w:t>
      </w:r>
    </w:p>
    <w:p>
      <w:pPr>
        <w:spacing w:after="120" w:before="0" w:line="276"/>
      </w:pPr>
      <w:r>
        <w:t xml:space="preserve">The construct is constant; the delivery is calibrated to the same bands as your curriculum and the GAPA. This keeps the trajectory continuous as a child climbs the arc — the same five competencies, measured in age-appropriate form, all the way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Band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Response captured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K–2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Sammy puppet reads each item aloud; 3-face icon scale (reduced 10-item form)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Tap-the-face; teacher-assisted; lowest reading load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3–5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Illustrated items, read-along audio option, 4-point scale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Independent tap, ~3–4 min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6–8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Standard text, 4-point frequency scale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Independent, ~3 min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9–12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Standard text + one optional open reflection line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Independent; optional short free-text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Adult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Self-audit framing (“my own practice of grace”)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Independent self-report; same five competencies</w:t>
            </w:r>
          </w:p>
        </w:tc>
      </w:tr>
    </w:tbl>
    <w:p>
      <w:pPr>
        <w:pStyle w:val="Heading1"/>
      </w:pPr>
      <w:r>
        <w:t xml:space="preserve">6 · Windows &amp; the multi-year arc</w:t>
      </w:r>
    </w:p>
    <w:p>
      <w:pPr>
        <w:spacing w:after="120" w:before="0" w:line="276"/>
      </w:pPr>
      <w:r>
        <w:t xml:space="preserve">Three benchmark windows per year, on the SEB-screening norm. Across a K–12 journey that is up to 39 comparable data points per student — the raw material of a true trajectory, and the thing that makes this a multi-year device rather than a one-off survey.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Typical timing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 (baseline)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Weeks 3–5 of the 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Sets the year’s starting point; Form 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Winter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Mid-year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Mid-course read; catches drift; Form 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 4–6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Year-over-year growth; Form 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9A6F24" w:sz="18"/>
              <w:bottom w:val="single" w:color="CCCCCC" w:sz="1"/>
              <w:right w:val="single" w:color="CCCCCC" w:sz="1"/>
            </w:tcBorders>
            <w:shd w:fill="F1ECD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9A6F24"/>
                <w:sz w:val="19"/>
                <w:szCs w:val="19"/>
              </w:rPr>
              <w:t xml:space="preserve">Continuity across years.  </w:t>
            </w:r>
            <w:r>
              <w:rPr>
                <w:sz w:val="21"/>
                <w:szCs w:val="21"/>
              </w:rPr>
              <w:t xml:space="preserve">Because the student record is keyed to a durable code (Section 7), Spring of one grade and Fall of the next sit on the same line. The hand-off between teachers — and between school and home — inherits the full history instead of starting over.</w:t>
            </w:r>
          </w:p>
        </w:tc>
      </w:tr>
    </w:tbl>
    <w:p>
      <w:pPr>
        <w:pStyle w:val="Heading1"/>
      </w:pPr>
      <w:r>
        <w:t xml:space="preserve">7 · The durable student record (the make-or-break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9A6F24" w:sz="18"/>
              <w:bottom w:val="single" w:color="CCCCCC" w:sz="1"/>
              <w:right w:val="single" w:color="CCCCCC" w:sz="1"/>
            </w:tcBorders>
            <w:shd w:fill="F1ECD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9A6F24"/>
                <w:sz w:val="19"/>
                <w:szCs w:val="19"/>
              </w:rPr>
              <w:t xml:space="preserve">This is the part that is genuinely missing today.  </w:t>
            </w:r>
            <w:r>
              <w:rPr>
                <w:sz w:val="21"/>
                <w:szCs w:val="21"/>
              </w:rPr>
              <w:t xml:space="preserve">The current check-in saves to the browser’s localStorage (device-local) with optional sync to a personal Google Sheet. Neither can follow a child across devices or years, and the personal-Gmail route is a flagged deployment blocker. A multi-year device requires a durable, school-owned record keyed to a stable pseudonymous code.</w:t>
            </w:r>
          </w:p>
        </w:tc>
      </w:tr>
    </w:tbl>
    <w:p>
      <w:pPr>
        <w:pStyle w:val="Heading2"/>
      </w:pPr>
      <w:r>
        <w:t xml:space="preserve">7.1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Stable identity. A pseudonymous student code that persists across devices, classes, and school years (assigned by the school; printed on a card or carried in the SIS).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 PII in AoG. The code-to-name mapping lives only in the school’s roster/SIS — never in the AoG record. AoG stores the code, never the name.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School-owned system of record. The destination must be district-controlled, not a founder-controlled personal account.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Honest privacy labeling. This is a FERPA education record and is pseudonymous, not “de-identified.” Site and contract language must say so (this also resolves an audit finding).</w:t>
      </w:r>
    </w:p>
    <w:p>
      <w:pPr>
        <w:pStyle w:val="Heading2"/>
      </w:pPr>
      <w:r>
        <w:t xml:space="preserve">7.2 The record schema (one row per student, per window)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student_code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RM12-7HQ4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Pseudonymous; stable across years; assigned by school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school_id / class_id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LIN-04 / 3B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For aggregation; not the child’s identity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Developmental form used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2026-FALL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Year + benchmark window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Parallel form administered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c_pause … c_release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0–9 each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five competency subscores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Scaled overall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support_band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Growing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Derived from cut scores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 | teacher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Supports later triangulation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2026-09-22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Timestamp; no free-text PII</w:t>
            </w:r>
          </w:p>
        </w:tc>
      </w:tr>
    </w:tbl>
    <w:p>
      <w:pPr>
        <w:pStyle w:val="Heading2"/>
      </w:pPr>
      <w:r>
        <w:t xml:space="preserve">7.3 System-of-record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District-owned Google Sheet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Fast; reuses today’s sync path — but must be the district’s account, not personal Gmail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Acceptable for pilot ONLY if district-owned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SIS / MTSS CSV import-export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Matches how schools already move screening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Recommended interim — schools trust 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Hosted AoG backend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 trajectories, auth, audit logs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eventual target; out of pilot scope</w:t>
            </w:r>
          </w:p>
        </w:tc>
      </w:tr>
    </w:tbl>
    <w:p>
      <w:pPr>
        <w:pStyle w:val="Heading1"/>
      </w:pPr>
      <w:r>
        <w:t xml:space="preserve">8 · The trajectory view (turning rows into a line)</w:t>
      </w:r>
    </w:p>
    <w:p>
      <w:pPr>
        <w:pStyle w:val="Heading2"/>
      </w:pPr>
      <w:r>
        <w:t xml:space="preserve">8.1 Per-student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trend line of the total across every window the child has — spanning grades — with the four support bands shaded behind it. This is the “show a child’s trajectory over years” view goal 2 is missing today.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small five-line (or radar) competency profile per window, so a flat total that hides a falling Coach Voice is still visible.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Plain-language markers: window dates, form used, and any gaps (missed windows shown as breaks, never interpolated).</w:t>
      </w:r>
    </w:p>
    <w:p>
      <w:pPr>
        <w:pStyle w:val="Heading2"/>
      </w:pPr>
      <w:r>
        <w:t xml:space="preserve">8.2 Class / grade / school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stacked band-composition bar per window (% Flourishing / Growing / Needs / Priority) — the standard screening read, trended over 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An MTSS roster that flags students who dropped a band or sit in Priority Support, wiring into the dashboard you already have.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Movement view: who moved up, who moved down, between two windows.</w:t>
      </w:r>
    </w:p>
    <w:p>
      <w:pPr>
        <w:pStyle w:val="Heading2"/>
      </w:pPr>
      <w:r>
        <w:t xml:space="preserve">8.3 The home–school bridge (links goal 3)</w:t>
      </w:r>
    </w:p>
    <w:p>
      <w:pPr>
        <w:spacing w:after="120" w:before="0" w:line="276"/>
      </w:pPr>
      <w:r>
        <w:t xml:space="preserve">A parent-facing version of the per-student trajectory — same five competencies, warm language, no jargon — shared through the school-controlled private link, not a public dashboard. This is where multi-year tracking becomes the seamless home–school bridge: the same trusted line, visible to teacher and parent.</w:t>
      </w:r>
    </w:p>
    <w:p>
      <w:pPr>
        <w:pStyle w:val="Heading1"/>
      </w:pPr>
      <w:r>
        <w:t xml:space="preserve">9 · Validation &amp; fairness (honest path to “it means something”)</w:t>
      </w:r>
    </w:p>
    <w:p>
      <w:pPr>
        <w:spacing w:after="120" w:before="0" w:line="276"/>
      </w:pPr>
      <w:r>
        <w:t xml:space="preserve">Provisional cut scores and a brand-new instrument are honest starting points, not finished science. The same discipline the GAPA holds itself to applies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established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Internal consistency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Cronbach’s α per subscale on pilot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.70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Convergent validity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Correlate screener with GAPA &amp; teacher ratings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Moderate positive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Sensitivity to 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Detect Fall→Spring growth in taught classes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Significant gain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 norms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cut scores from your own population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Replace provisional cuts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Fairness / DIF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Equity-panel review + differential-item-functioning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Invariance holds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9A6F24" w:sz="18"/>
              <w:bottom w:val="single" w:color="CCCCCC" w:sz="1"/>
              <w:right w:val="single" w:color="CCCCCC" w:sz="1"/>
            </w:tcBorders>
            <w:shd w:fill="F1ECD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9A6F24"/>
                <w:sz w:val="19"/>
                <w:szCs w:val="19"/>
              </w:rPr>
              <w:t xml:space="preserve">Until then.  </w:t>
            </w:r>
            <w:r>
              <w:rPr>
                <w:sz w:val="21"/>
                <w:szCs w:val="21"/>
              </w:rPr>
              <w:t xml:space="preserve">Screener bands inform support and program evaluation — never placement, grades, or high-stakes individual judgments. State that on the instrument itself, as the GAPA does.</w:t>
            </w:r>
          </w:p>
        </w:tc>
      </w:tr>
    </w:tbl>
    <w:p>
      <w:pPr>
        <w:pStyle w:val="Heading1"/>
      </w:pPr>
      <w:r>
        <w:t xml:space="preserve">10 · What changes in the current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Today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Needed for the screener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Daily reflection, free-form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a separate fixed-item screener flow gated to windows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localStorage, device-local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Durable student record keyed to a stable code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 (the core lift)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Optional personal-Gmail sync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District-owned destination; CSV import/export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Streaks / session history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Per-student trajectory + class band-composition views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C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 scoring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Scoring engine: subscores → total → band, reverse-keying, forms A/B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1"/>
      </w:pPr>
      <w:r>
        <w:t xml:space="preserve">11 · Open decisions (need your call)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Self-report only, or add a brief teacher-rated companion at launch? (Teacher ratings strengthen the evidence but add adult burden.)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Universal census every window, or sample for older bands to cut load?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System of record for the pilot: district Google Sheet vs. SIS CSV vs. accelerating a hosted backend?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Who owns and assigns the durable student code — and how is it carried year to year?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Do parents see the trajectory at launch, or after the instrument has one year of data behind it?</w:t>
      </w:r>
    </w:p>
    <w:p>
      <w:pPr>
        <w:spacing w:after="160"/>
      </w:pPr>
      <w:r>
        <w:t xml:space="preserve"/>
      </w:r>
    </w:p>
    <w:p>
      <w:pPr>
        <w:pBdr>
          <w:top w:val="single" w:color="C9A24B" w:sz="6" w:space="8"/>
        </w:pBdr>
        <w:spacing w:before="120"/>
      </w:pPr>
      <w:r>
        <w:rPr>
          <w:b/>
          <w:bCs/>
          <w:color w:val="1B3A5F"/>
          <w:sz w:val="19"/>
          <w:szCs w:val="19"/>
        </w:rPr>
        <w:t xml:space="preserve">End of specification. </w:t>
      </w:r>
      <w:r>
        <w:rPr>
          <w:i/>
          <w:iCs/>
          <w:color w:val="555555"/>
          <w:sz w:val="19"/>
          <w:szCs w:val="19"/>
        </w:rPr>
        <w:t xml:space="preserve">Version 0.1 — a design to react to and refine with your curriculum team, not a final instrument. Items shown are illustrative placeholders pending team authoring and equity-panel review.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· Confidential — for internal &amp; curriculum-team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color w:val="888888"/>
        <w:sz w:val="16"/>
        <w:szCs w:val="16"/>
      </w:rPr>
      <w:t xml:space="preserve">Architecture of Grace · The Grace Trajectory</w:t>
    </w:r>
    <w:r>
      <w:rPr>
        <w:color w:val="888888"/>
        <w:sz w:val="16"/>
        <w:szCs w:val="16"/>
      </w:rPr>
      <w:t xml:space="preserve">	Design Spec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4B" w:sz="6" w:space="6"/>
      </w:pBdr>
      <w:spacing w:after="160" w:before="320"/>
      <w:outlineLvl w:val="0"/>
    </w:pPr>
    <w:rPr>
      <w:rFonts w:ascii="Calibri" w:cs="Calibri" w:eastAsia="Calibri" w:hAnsi="Calibri"/>
      <w:b/>
      <w:bCs/>
      <w:color w:val="1B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9A6F2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Grace Trajectory — Design Specification</dc:title>
  <dc:creator>Architecture of Grace</dc:creator>
  <cp:lastModifiedBy>Un-named</cp:lastModifiedBy>
  <cp:revision>1</cp:revision>
  <dcterms:created xsi:type="dcterms:W3CDTF">2026-06-16T16:17:20.837Z</dcterms:created>
  <dcterms:modified xsi:type="dcterms:W3CDTF">2026-06-16T16:17:20.837Z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