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A1E33"/>
          <w:sz w:val="52"/>
          <w:szCs w:val="52"/>
        </w:rPr>
        <w:t xml:space="preserve">ARCHITECTURE OF GRACE</w:t>
      </w:r>
    </w:p>
    <w:p>
      <w:pPr>
        <w:spacing w:after="40"/>
        <w:jc w:val="center"/>
      </w:pPr>
      <w:r>
        <w:rPr>
          <w:color w:val="B8860B"/>
          <w:sz w:val="36"/>
          <w:szCs w:val="36"/>
        </w:rPr>
        <w:t xml:space="preserve">Ecosystem Audit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Curriculum-Reviewer &amp; Digital-Landscaper Lenses</w:t>
      </w:r>
    </w:p>
    <w:p>
      <w:pPr>
        <w:pBdr>
          <w:top w:val="single" w:color="B8860B" w:sz="6" w:space="6"/>
        </w:pBdr>
        <w:jc w:val="center"/>
      </w:pPr>
      <w:r>
        <w:rPr>
          <w:sz w:val="2"/>
          <w:szCs w:val="2"/>
        </w:rPr>
        <w:t xml:space="preserve"/>
      </w:r>
    </w:p>
    <w:p>
      <w:pPr>
        <w:spacing w:after="40" w:before="240"/>
        <w:jc w:val="center"/>
      </w:pPr>
      <w:r>
        <w:rPr>
          <w:color w:val="555555"/>
          <w:sz w:val="20"/>
          <w:szCs w:val="20"/>
        </w:rPr>
        <w:t xml:space="preserve">Scope: index.html website · K–adult SEL curriculum · 6-book novel series · legal/privacy package · master library</w:t>
      </w:r>
    </w:p>
    <w:p>
      <w:pPr>
        <w:jc w:val="center"/>
      </w:pPr>
      <w:r>
        <w:rPr>
          <w:color w:val="555555"/>
          <w:sz w:val="20"/>
          <w:szCs w:val="20"/>
        </w:rPr>
        <w:t xml:space="preserve">Prepared June 15, 2026 · Pilot build 2026.06.13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Overall. </w:t>
      </w:r>
      <w:r>
        <w:t xml:space="preserve">Architecture of Grace (AoG) is an ambitious, unusually coherent K–adult social-emotional learning ecosystem: a single-file web app (the "Universal Check-In"), a five-band explicit-instruction curriculum with a parallel Secular and Divine/Christian track, a genuinely literary six-book novel series, autism and somatic/trauma-informed adaptations, and a privacy/legal package. The </w:t>
      </w:r>
      <w:r>
        <w:rPr>
          <w:b/>
          <w:bCs/>
        </w:rPr>
        <w:t xml:space="preserve">classroom-facing creative and pedagogical work is strong</w:t>
      </w:r>
      <w:r>
        <w:t xml:space="preserve">. The </w:t>
      </w:r>
      <w:r>
        <w:rPr>
          <w:b/>
          <w:bCs/>
        </w:rPr>
        <w:t xml:space="preserve">business, reference, deployment, and privacy layers are not yet release-ready</w:t>
      </w:r>
      <w:r>
        <w:t xml:space="preserve">, and the website overstates a key privacy claim relative to the program's own legal documents.</w:t>
      </w:r>
    </w:p>
    <w:p>
      <w:pPr>
        <w:spacing w:after="120"/>
      </w:pPr>
      <w:r>
        <w:t xml:space="preserve">By design, the full curriculum, novels, and home editions are </w:t>
      </w:r>
      <w:r>
        <w:rPr>
          <w:b/>
          <w:bCs/>
        </w:rPr>
        <w:t xml:space="preserve">paid products gated to the Store</w:t>
      </w:r>
      <w:r>
        <w:t xml:space="preserve">; the site gives away only free previews and sample lessons. That model is implemented correctly — every user-facing preview path is intact (all 42 lesson previews and sample PDFs present). The headline issues below are therefore about privacy, data flow, and the reference layer, not the storefront.</w:t>
      </w:r>
    </w:p>
    <w:p>
      <w:pPr>
        <w:spacing w:after="120"/>
      </w:pPr>
      <w:r>
        <w:rPr>
          <w:b/>
          <w:bCs/>
        </w:rPr>
        <w:t xml:space="preserve">Headline issues to fix before any public-district or paid launch: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Overstated privacy claim. </w:t>
      </w:r>
      <w:r>
        <w:t xml:space="preserve">The site says "de-identified" 11 times, while the legal package concedes the data is a FERPA education record and is only pseudonymous.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Pilot data routes to a personal Gmail. </w:t>
      </w:r>
      <w:r>
        <w:t xml:space="preserve">Class links/QR codes sync identifiable-capable student data to a founder-controlled personal Google Sheet — a blocker for school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Unmoderated public "Voices" wall </w:t>
      </w:r>
      <w:r>
        <w:t xml:space="preserve">accepts instant, account-free posts from children — a COPPA/safeguarding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Hollow reference layer. </w:t>
      </w:r>
      <w:r>
        <w:t xml:space="preserve">The Master Compendium is ~240 placeholder paragraphs; the signature "GAPA" assessment is absent; there is no efficacy evidence and no state-standards crosswalk.</w:t>
      </w:r>
    </w:p>
    <w:p>
      <w:pPr>
        <w:spacing w:after="120"/>
      </w:pPr>
      <w:r>
        <w:rPr>
          <w:b/>
          <w:bCs/>
        </w:rPr>
        <w:t xml:space="preserve">Bottom line. </w:t>
      </w:r>
      <w:r>
        <w:t xml:space="preserve">Treat AoG as a credible, talented </w:t>
      </w:r>
      <w:r>
        <w:rPr>
          <w:b/>
          <w:bCs/>
        </w:rPr>
        <w:t xml:space="preserve">pilot</w:t>
      </w:r>
      <w:r>
        <w:t xml:space="preserve"> — not a validated, shippable platform. The creative spine (curriculum + novels + adaptations) can carry a pilot today. Before money or public districts are involved, close the broken links, align the privacy language to the legal reality, harden the data flow, and finish the reference/assessment layer.</w:t>
      </w:r>
    </w:p>
    <w:p>
      <w:pPr>
        <w:pStyle w:val="Heading1"/>
      </w:pPr>
      <w:r>
        <w:t xml:space="preserve">2. Scope &amp; Method</w:t>
      </w:r>
    </w:p>
    <w:p>
      <w:pPr>
        <w:spacing w:after="120"/>
      </w:pPr>
      <w:r>
        <w:t xml:space="preserve">This audit was conducted across the three connected folders provided (AOG SITE, its files/ library, and the Desktop "Architecture of Grace" ecosystem including the Master Library). Two lenses were applied with equal weight: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Curriculum reviewer — </w:t>
      </w:r>
      <w:r>
        <w:t xml:space="preserve">pedagogy, scope &amp; sequence, standards alignment, differentiation/accessibility, assessment, and adoption red flags, as a district curriculum committee would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Digital landscaper — </w:t>
      </w:r>
      <w:r>
        <w:t xml:space="preserve">information architecture, link integrity, content/claim accuracy, accessibility, performance, SEO/metadata, maintainability, and deployment hygiene of the website and how it represents the ecosystem.</w:t>
      </w:r>
    </w:p>
    <w:p>
      <w:pPr>
        <w:spacing w:after="120"/>
      </w:pPr>
      <w:r>
        <w:t xml:space="preserve">Materials examined include the 27,600-line </w:t>
      </w:r>
      <w:r>
        <w:rPr>
          <w:rFonts w:ascii="Courier New" w:cs="Courier New" w:eastAsia="Courier New" w:hAnsi="Courier New"/>
        </w:rPr>
        <w:t xml:space="preserve">index.html</w:t>
      </w:r>
      <w:r>
        <w:t xml:space="preserve">; sample lesson Books 1–5 and the Direct-Instruction master; the Divine and Secular crosswalk matrices; autism (lower/moderate) and somatic-floor packs; the Master Compendium; all six novels (Rooms 12/18/36/104/207 and Book 6 "The Dwelling"); and the corrected DPA, Data Privacy Statement, and IT Deployment Guide. Severity is tagged </w:t>
      </w:r>
      <w:r>
        <w:rPr>
          <w:b/>
          <w:bCs/>
        </w:rPr>
        <w:t xml:space="preserve">Critical</w:t>
      </w:r>
      <w:r>
        <w:t xml:space="preserve"> / </w:t>
      </w:r>
      <w:r>
        <w:rPr>
          <w:b/>
          <w:bCs/>
        </w:rPr>
        <w:t xml:space="preserve">Moderate</w:t>
      </w:r>
      <w:r>
        <w:t xml:space="preserve"> / </w:t>
      </w:r>
      <w:r>
        <w:rPr>
          <w:b/>
          <w:bCs/>
        </w:rPr>
        <w:t xml:space="preserve">Minor</w:t>
      </w:r>
      <w:r>
        <w:t xml:space="preserve"> / </w:t>
      </w:r>
      <w:r>
        <w:rPr>
          <w:b/>
          <w:bCs/>
        </w:rPr>
        <w:t xml:space="preserve">Strength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Note. </w:t>
      </w:r>
      <w:r>
        <w:t xml:space="preserve">The privacy/legal observations are a compliance-reviewer's assessment of document quality and risk, not legal advice. A district's counsel and IT must perform the binding review.</w:t>
      </w:r>
    </w:p>
    <w:p>
      <w:pPr>
        <w:pStyle w:val="Heading1"/>
      </w:pPr>
      <w:r>
        <w:t xml:space="preserve">3. Digital-Landscaper Findings (Website &amp; Ecosystem Presence)</w:t>
      </w:r>
    </w:p>
    <w:p>
      <w:pPr>
        <w:pStyle w:val="Heading2"/>
      </w:pPr>
      <w:r>
        <w:t xml:space="preserve">3.1 Link integrity &amp; content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Preview-then-purchase model works as intended: the Library gives away only free previews and sample lessons (all 42 mapped lesson previews and all sample-lesson PDFs are present and resolve), while the full curriculum, novels, and home editions are deliberately gated to the Store. The full curriculum is correctly NOT given away free.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Keep. Optionally add a build-time link checker so any future preview/sample file that goes missing is caught before deploy.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 code: the CURRICULUM_URLS constant (line ~18821) lists five paid _Polished.pdf files that are intentionally not deployed — but the constant is never referenced anywhere in the site, so it produces no user-facing 404. It can mislead a future editor into thinking those files belong in files/.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the unused CURRICULUM_URLS constant (or move it into the Store/purchase module with a comment) so the intent is unambiguous.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language mismatch: the site asserts "de-identified" 11× as a headline promise; the legal docs state the data is a FERPA education record and only pseudonymous. The front door over-promises versus the contract.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"de-identified" with the defensible, documented phrasing: "private, pseudonymous, keyed to educator-assigned codes; no third-party servers." Make site and DPA say the same thing.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personal contact: Theopus77@yahoo.com appears 9× as the site contact (and in the DPA). The legal set elsewhere uses a gmail address and the .org domain — three different contacts across the ecosystem.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 up one branded address (e.g. hello@architectureofgrace.org) and use it everywhere — site, DPA, privacy statement, prospectus.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ambiguity: Open Graph/Twitter tags hard-code architectureofgrace.org with inline "SWAP to your .com when live" notes. Canonical domain is undecided in shipped markup.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 the canonical domain, set a single &lt;link rel=canonical&gt;, and template the OG URLs so they aren't hand-swapped.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Exposed artifacts in the public files/ folder: index.backup-*.html backups, .DS_Store, and editor .~lock files ship to the web root.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.gitignore / deploy-ignore rules; strip backups, OS metadata, and lock files from the published bundle.</w:t>
            </w:r>
          </w:p>
        </w:tc>
      </w:tr>
    </w:tbl>
    <w:p>
      <w:pPr>
        <w:pStyle w:val="Heading2"/>
      </w:pPr>
      <w:r>
        <w:t xml:space="preserve">3.2 Architecture, performance &amp;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index.html is a single ~2 MB file with 32 inline &lt;script&gt; and 32 inline &lt;style&gt; blocks plus 338 inline onclick handlers. Nothing is cacheable separately; a content-security-policy is effectively impossible; and the file mixes hand-written and obfuscated (_0x...) code.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CSS/JS into cacheable external assets (the aog-src/ module+build.py system already exists — make it the source of truth and stop hand-editing the built file). Move handlers to addEventListener to enable a CSP.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webfont payload: four Google Font families with many weights/axes load render-blocking from a third-party CDN — a measurable performance and (per the privacy statement) IP-exposure cost on every page load.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Subset and self-host the fonts; drop unused weights; add font-display: swap (the preconnect is already present).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real PWA: manifest.json, service worker (sw.js), maskable icons, theme-color, and offline support are present and correct — appropriate for spotty school networks.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Keep. Verify the SW cache version bumps on each deploy so updates propagate.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modular build system (aog-src/base.html + modules/ + build.py) exists, signaling intent toward maintainability.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Adopt it as the single source; treat the root index.html as generated output only.</w:t>
            </w:r>
          </w:p>
        </w:tc>
      </w:tr>
    </w:tbl>
    <w:p>
      <w:pPr>
        <w:pStyle w:val="Heading2"/>
      </w:pPr>
      <w:r>
        <w:t xml:space="preserve">3.3 Accessibility &amp;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accessibility baseline: &lt;html lang&gt; set; all 5 &lt;img&gt; have alt text; extensive correct ARIA (aria-label, aria-checked, aria-live, roles radiogroup/dialog/menu); semantic heading levels present.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Keep. Verify the 338 button/onclick controls are all genuine &lt;button&gt;s (keyboard-focusable), and run an automated axe/Lighthouse pass for color-contrast on the gold-on-cream palette.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 hierarchy is deep and app-like (21 h1, 39 h2, 46 h3). With many screens in one document, multiple h1s can confuse screen-reader and SEO document outlines.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one h1 per visible screen/route; demote the rest. Confirm focus management when switching app screens.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SEO/discoverability: rich OG/Twitter cards exist, but the single-page app exposes little crawlable text for deep content (curriculum, novels), and canonical/domain is unsettled (D4).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sitemap, ensure key marketing copy is in initial HTML, and settle the canonical domain for indexable previews.</w:t>
            </w:r>
          </w:p>
        </w:tc>
      </w:tr>
    </w:tbl>
    <w:p>
      <w:pPr>
        <w:pStyle w:val="Heading1"/>
      </w:pPr>
      <w:r>
        <w:t xml:space="preserve">4. Curriculum-Reviewer Findings</w:t>
      </w:r>
    </w:p>
    <w:p>
      <w:pPr>
        <w:pStyle w:val="Heading2"/>
      </w:pPr>
      <w:r>
        <w:t xml:space="preserve">4.1 Curriculum (instruction, scope, standards,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Coherent, disciplined instructional model: every lesson follows Opening Review → scripted Direct Instruction → co-built anchor chart → private practice → Exit Ticket + Teacher Reflection. Fully-worded scripts support fidelity across teachers.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Keep. Consider adding an explicit guided-practice ("we do") and structured peer-practice step to strengthen transfer (see C2).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Closer to scripted explicit-instruction + private reflection than true gradual release; limited structured peer practice. Committees focused on generalization/transfer will note it.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brief "we do" and partner-practice moves to each lesson and document the transfer pathway.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K–adult scope &amp; sequence: five grade bands across five "Room" books + Book 6 (adult) + Home Edition, with four pillars (Identity → Self-Compassion → Forgiveness → Grace) spiralling throughout, plus engineered 5–6 and 8–9 transition "bridges."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— the vertical articulation is a genuine differentiator.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Genuine CASEL alignment: all five competencies mapped to specific units/named lessons, with per-lesson CASEL tags; crosswalk matrices map novel scenes → pillar → lesson coordinate → anchor chart → neuro-affirming adjustment.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Keep. This is competency-level mapping, not a checkbox.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Alignment is to CASEL only — no mapping to any specific state SEL standards (IL, CA, etc.). Standards-mandated districts can't adopt without it.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state-standards crosswalks for target markets; keep claims hedged ("CASEL-aligned") until done.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signature "GAPA / Grace-in-Action Performance Assessment" is absent from the corpus; named instruments (C/E/G/H) and a standalone "Assessment &amp; Outcome" doc are referenced but not included. Assessment is almost entirely formative; no rubrics, no summative measure.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 GAPA + the referenced instruments and rubrics before claiming an outcomes story; until then, market assessment as formative only.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B2A2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efficacy/outcome evidence anywhere (zero hits for study/RCT/efficacy/peer-review/pilot results). Appropriate for true pilot stage, but it means the program cannot be marketed as proven or research-validated.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all claims at "research-grounded / pilot." Plan a measurable pilot to generate first-party outcome data.</w:t>
            </w:r>
          </w:p>
        </w:tc>
      </w:tr>
    </w:tbl>
    <w:p>
      <w:pPr>
        <w:pStyle w:val="Heading2"/>
      </w:pPr>
      <w:r>
        <w:t xml:space="preserve">4.2 Differentiation, accessibility &amp; dual-track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Substantive autism adaptations: two tiers (Lower/Moderate Support) per book with interoception scaffolding, literal-language anchors, AAC-compatible symbols, First-Then/choice boards, and co-regulation scripts. Current, self-advocate-aligned terminology ("support needs," not "functioning levels").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— a real market differentiator. List the named multidisciplinary contributors/credentials to substantiate (see C12).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Clinically serious somatic-floor companions: correctly applies Polyvagal theory, Window of Tolerance, interoception, and trauma research, with a "regulation precedes cognition" rule that tells teachers not to run the cognitive lesson during sympathetic activation.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— strong UDL/trauma-informed asset.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 / Disclosure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Cleanly separated Secular vs Divine (Reformed/ESV) tracks; each Divine volume is standalone; a "Faith Trauma-Guardrail" prohibits harmful theodicy with a distressed student. The Divine track is specifically Reformed-confessional, not generically Christian.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districts must adopt Secular only; never blur the tracks in marketing or procurement. Flag the ESV/Reformed specificity prominently to buyers.</w:t>
            </w:r>
          </w:p>
        </w:tc>
      </w:tr>
    </w:tbl>
    <w:p>
      <w:pPr>
        <w:pStyle w:val="Heading2"/>
      </w:pPr>
      <w:r>
        <w:t xml:space="preserve">4.3 Novel series (Books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Accomplished, genuinely literary series with deliberate K→adult reading-level scaling (the narrator's voice intentionally shrinks book over book), individuated characters consistent across 30 in-story years, and organic — not didactic — SEL integration. Strong curriculum alignment via the crosswalk.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— this is the ecosystem's standout asset.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6 "The Dwelling" is adult-mature (divorce, job loss, months-long hidden depression with implied suicidality, the death of a beloved teacher). Handled tastefully and with a content warning, but it is not a YA/classroom read.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Book 6 as adult; gate behind counselor/parent framing; never shelve with the K–12 novels.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Trauma/mental-health content in Books 4–6 (grief, depression, social-media harm, referenced drinking) warrants standard SEL parent-notice and counselor availability. Several curriculum lessons are PPRA-designated (psychological screening) — safety scaffolding (988/Crisis Text Line, opt-out, counselor briefing) is genuinely strong but draws parent/privacy scrutiny.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the standard SEL opt-in/opt-out notice; ensure counseling support; keep the strong crisis scaffolding.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Publisher-imprint inconsistency: novels credit "School of Life Foundation" while curriculum/ecosystem docs say "Architecture of Grace Foundation." Age-band/maturity labels are implicit, not printed on the books.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Reconcile the imprint name; print explicit grade-band + Book-6 maturity labels for cataloging.</w:t>
            </w:r>
          </w:p>
        </w:tc>
      </w:tr>
    </w:tbl>
    <w:p>
      <w:pPr>
        <w:pStyle w:val="Heading2"/>
      </w:pPr>
      <w:r>
        <w:t xml:space="preserve">4.4 Reference &amp; business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B2A2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flagship Master Compendium (Architecture_of_Grace_Master_Compendium.docx) is a hollow scaffold — ~240 of 572 paragraphs are literal "[content placeholder]" markers; every substantive section (Strand Map, Bridges, MTSS Crosswalk, Trauma-Informed Statement) is empty.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circulate to districts as a reference volume until completed; either finish it or remove it from the package.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Single-author concentration: authored by one founder; the named multidisciplinary teams for the autism editions list no individuals or credentials. Clinical frameworks are correctly borrowed, not independently validated.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contributors and credentials; document the review process to support clinical claims.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register runs hot in ecosystem/prospectus materials ("a movement," "hard-to-copy," "not another SEL program"; prospectus cites a 4.6/5 internal panel and "operational platform") — and conflicts with the legal docs' honest "pilot, not validated" stance.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 the prospectus to the cautious pilot framing; reserve superlatives until outcome data exists.</w:t>
            </w:r>
          </w:p>
        </w:tc>
      </w:tr>
    </w:tbl>
    <w:p>
      <w:pPr>
        <w:pStyle w:val="Heading1"/>
      </w:pPr>
      <w:r>
        <w:t xml:space="preserve">5. Legal &amp; Privacy Findings</w:t>
      </w:r>
    </w:p>
    <w:p>
      <w:pPr>
        <w:spacing w:after="120"/>
      </w:pPr>
      <w:r>
        <w:rPr>
          <w:b/>
          <w:bCs/>
        </w:rPr>
        <w:t xml:space="preserve">Not legal advice. </w:t>
      </w:r>
      <w:r>
        <w:t xml:space="preserve">The following flags document-quality and deployment risk a district's counsel/IT would examine. The corrected DPA, Data Privacy Statement, and IT Deployment Guide are notably above-average for a solo EdTech vendor and are commendably honest about their own weaknesses — but three items should block student deployment as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3760"/>
        <w:gridCol w:w="386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B2A2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data flow contradicts the "provider has no access" model: class links/QR codes sync identifiable-capable student SEL data (name/ID + responses + free-text reflections) to the founder's personal Google Sheet, and sync can fire regardless of device settings.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student use until the destination is a district-owned Google Workspace, contractually required before go-live.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B2A2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"de-identified" marketing claim is not substantiated and contradicts the docs' own position: the privacy statement says "a first name is fine" and that responses are FERPA education records; three free-text reflection fields carry re-identification risk. The system is pseudonymous, not de-identified.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Drop/qualify the "de-identified" claim everywhere (ties to D2); use the documents' honest "pseudonymous, educator-keyed" framing.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B2A2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public "Voices" wall accepts instant, account-free posts from any visitor including under-13 students, is not pre-moderated, and regex filters only block contact details — a COPPA/child-safety exposure.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the wall off for student-accessible deployments, or require pre-moderation; treat as a safeguarding control.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COPPA mechanics are gestured at (school-consent model named) but not structured — no data-minimization statement, parent direct-notice, or treatment of child free-text. PPRA is named but not operationalized despite SEL items probing psychological state.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out the school-consent COPPA workflow and PPRA notice/opt-out for the screening items.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 state-law coverage: SOPIPA (CA) and NY Ed Law 2-d (mandatory Parents' Bill of Rights + exhibits) are not referenced; a NY district couldn't use the DPA as-is. (The SDPC-template deference is otherwise the right posture.)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state-specific exhibits (NY 2-d, CA SOPIPA, IL SOPPA) for target markets.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controls are vague and self-admittedly weak: default passcodes ship as "sky" / "educator"; passcode visible in page source and leaked in URL params; no named framework (NIST/SOC 2), encryption, MFA, or logging.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 real security exhibit; rotate/remove default secrets; document encryption, access control, and breach insurance.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8A6D1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FERPA "school official" status is asserted but undercut by the personal-Gmail mode (breaks "direct control") and a §4.3 secondary-use clause permitting "de-identified data for product improvement/research."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the data destination (L1) and tightly bound or remove secondary use.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3A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On-device retention gap: provider admits it cannot delete data left in browser localStorage on shared/lab devices; the 30-day return/destroy clause reaches almost nothing in the intended model.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a device-clearing procedure for schools; clarify records-management responsibility.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3314F" w:val="clear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Genuine strengths: a strong AI/ML-training prohibition (ahead of most SEL DPAs), correct controller/processor framing, 72-hour breach notice, local-first default, correct routing of parent FERPA rights to the LEA, and rare, credibility-building self-disclosure of weaknesses.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and foreground these in district conversations.</w:t>
            </w:r>
          </w:p>
        </w:tc>
      </w:tr>
    </w:tbl>
    <w:p>
      <w:pPr>
        <w:pStyle w:val="Heading1"/>
      </w:pPr>
      <w:r>
        <w:t xml:space="preserve">6. Prioritized Action Plan</w:t>
      </w:r>
    </w:p>
    <w:p>
      <w:pPr>
        <w:pStyle w:val="Heading2"/>
      </w:pPr>
      <w:r>
        <w:t xml:space="preserve">Before any public-district or paid launch (blockers)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 pilot data off the personal Gmail (L1) </w:t>
      </w:r>
      <w:r>
        <w:t xml:space="preserve">— require a district-owned destination before student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Reconcile the privacy claim (D2/L2) </w:t>
      </w:r>
      <w:r>
        <w:t xml:space="preserve">— replace "de-identified" with "pseudonymous" across site and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Default the Voices wall off / add moderation (L3).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 shipping default secrets and exposed backups (L6/D5).</w:t>
      </w:r>
    </w:p>
    <w:p>
      <w:pPr>
        <w:pStyle w:val="Heading2"/>
      </w:pPr>
      <w:r>
        <w:t xml:space="preserve">Before claiming an outcomes or "validated"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Deliver GAPA + assessment instruments and rubrics (C6); </w:t>
      </w:r>
      <w:r>
        <w:t xml:space="preserve">complete the Master Compendium (C15).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state-standards crosswalks (C5) and state legal exhibits (L5).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Align prospectus claims to the pilot reality (C17); </w:t>
      </w:r>
      <w:r>
        <w:t xml:space="preserve">plan a measurable pilot for first-party efficacy data (C7).</w:t>
      </w:r>
    </w:p>
    <w:p>
      <w:pPr>
        <w:pStyle w:val="Heading2"/>
      </w:pPr>
      <w:r>
        <w:t xml:space="preserve">Polish &amp; professionalism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branded contact address (D3); </w:t>
      </w:r>
      <w:r>
        <w:t xml:space="preserve">settle the canonical domain (D4); reconcile the publisher imprint and print grade-band/maturity labels (C14).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Adopt the aog-src build system as the single source (D6/D9); </w:t>
      </w:r>
      <w:r>
        <w:t xml:space="preserve">self-host subsetted fonts (D7).</w:t>
      </w:r>
    </w:p>
    <w:p>
      <w:pPr>
        <w:pStyle w:val="Heading2"/>
      </w:pPr>
      <w:r>
        <w:t xml:space="preserve">What's already strong (protect 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novel series and its deliberate K→adult scaling — the ecosystem's standout asset.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autism and somatic/trauma-informed adaptations — clinically serious and genuinely differentiating.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Genuine CASEL alignment and a coherent, fidelity-supporting instructional model with engineered grade-band bridges.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clean Secular/Divine separation with a responsible faith-trauma guardrail.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Honest, above-average legal drafting with a market-leading AI-training prohibition, and a correct PWA/accessibility baseline on the site.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End of audit. Privacy/legal items are document-quality observations, not legal advice; binding review requires qualified counsel.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· June 15, 2026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jc w:val="right"/>
    </w:pPr>
    <w:r>
      <w:rPr>
        <w:color w:val="555555"/>
        <w:sz w:val="16"/>
        <w:szCs w:val="16"/>
      </w:rPr>
      <w:t xml:space="preserve">Architecture of Grace — Ecosystem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4" w:space="4"/>
      </w:pBdr>
      <w:spacing w:after="160" w:before="300"/>
      <w:outlineLvl w:val="0"/>
    </w:pPr>
    <w:rPr>
      <w:rFonts w:ascii="Arial" w:cs="Arial" w:eastAsia="Arial" w:hAnsi="Arial"/>
      <w:b/>
      <w:bCs/>
      <w:color w:val="0A1E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331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2026-06-15T14:58:20.978Z</dcterms:created>
  <dcterms:modified xsi:type="dcterms:W3CDTF">2026-06-15T14:58:20.978Z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