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vestment-memo-intc"/>
    <w:p>
      <w:pPr>
        <w:pStyle w:val="Heading1"/>
      </w:pPr>
      <w:r>
        <w:t xml:space="preserve">Investment Memo: INTC</w:t>
      </w:r>
    </w:p>
    <w:bookmarkStart w:id="20" w:name="one-line-thesis-valuation-snapshot"/>
    <w:p>
      <w:pPr>
        <w:pStyle w:val="Heading2"/>
      </w:pPr>
      <w:r>
        <w:t xml:space="preserve">1. One-Line Thesis &amp; Valuation Snapshot</w:t>
      </w:r>
    </w:p>
    <w:p>
      <w:pPr>
        <w:pStyle w:val="FirstParagraph"/>
      </w:pPr>
      <w:r>
        <w:t xml:space="preserve">At 78x forward earnings and 45x trailing EBITDA against 7.2% revenue growth, Intel’s current valuation embeds a sharp earnings recovery that its 2026 8-K cadence — dominated by leadership changes and restructuring disclosures — has not yet confirmed.</w:t>
      </w:r>
    </w:p>
    <w:p>
      <w:pPr>
        <w:pStyle w:val="BodyText"/>
      </w:pPr>
      <w:r>
        <w:rPr>
          <w:b/>
          <w:bCs/>
        </w:rPr>
        <w:t xml:space="preserve">Valuation Snapshot (trailing twelve months)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Market Capitalization</w:t>
            </w:r>
          </w:p>
        </w:tc>
        <w:tc>
          <w:tcPr/>
          <w:p>
            <w:pPr>
              <w:pStyle w:val="Compact"/>
            </w:pPr>
            <w:r>
              <w:t xml:space="preserve">$605.0B</w:t>
            </w:r>
          </w:p>
        </w:tc>
      </w:tr>
      <w:tr>
        <w:tc>
          <w:tcPr/>
          <w:p>
            <w:pPr>
              <w:pStyle w:val="Compact"/>
            </w:pPr>
            <w:r>
              <w:t xml:space="preserve">Enterprise Value</w:t>
            </w:r>
          </w:p>
        </w:tc>
        <w:tc>
          <w:tcPr/>
          <w:p>
            <w:pPr>
              <w:pStyle w:val="Compact"/>
            </w:pPr>
            <w:r>
              <w:t xml:space="preserve">$637.9B</w:t>
            </w:r>
          </w:p>
        </w:tc>
      </w:tr>
      <w:tr>
        <w:tc>
          <w:tcPr/>
          <w:p>
            <w:pPr>
              <w:pStyle w:val="Compact"/>
            </w:pPr>
            <w:r>
              <w:t xml:space="preserve">Trailing Revenue</w:t>
            </w:r>
          </w:p>
        </w:tc>
        <w:tc>
          <w:tcPr/>
          <w:p>
            <w:pPr>
              <w:pStyle w:val="Compact"/>
            </w:pPr>
            <w:r>
              <w:t xml:space="preserve">$53.8B</w:t>
            </w:r>
          </w:p>
        </w:tc>
      </w:tr>
      <w:tr>
        <w:tc>
          <w:tcPr/>
          <w:p>
            <w:pPr>
              <w:pStyle w:val="Compact"/>
            </w:pPr>
            <w:r>
              <w:t xml:space="preserve">Trailing EBITDA</w:t>
            </w:r>
          </w:p>
        </w:tc>
        <w:tc>
          <w:tcPr/>
          <w:p>
            <w:pPr>
              <w:pStyle w:val="Compact"/>
            </w:pPr>
            <w:r>
              <w:t xml:space="preserve">$14.2B</w:t>
            </w:r>
          </w:p>
        </w:tc>
      </w:tr>
      <w:tr>
        <w:tc>
          <w:tcPr/>
          <w:p>
            <w:pPr>
              <w:pStyle w:val="Compact"/>
            </w:pPr>
            <w:r>
              <w:t xml:space="preserve">EBITDA Margin</w:t>
            </w:r>
          </w:p>
        </w:tc>
        <w:tc>
          <w:tcPr/>
          <w:p>
            <w:pPr>
              <w:pStyle w:val="Compact"/>
            </w:pPr>
            <w:r>
              <w:t xml:space="preserve">26.4%</w:t>
            </w:r>
          </w:p>
        </w:tc>
      </w:tr>
      <w:tr>
        <w:tc>
          <w:tcPr/>
          <w:p>
            <w:pPr>
              <w:pStyle w:val="Compact"/>
            </w:pPr>
            <w:r>
              <w:t xml:space="preserve">YoY Revenue Growth</w:t>
            </w:r>
          </w:p>
        </w:tc>
        <w:tc>
          <w:tcPr/>
          <w:p>
            <w:pPr>
              <w:pStyle w:val="Compact"/>
            </w:pPr>
            <w:r>
              <w:t xml:space="preserve">7.2%</w:t>
            </w:r>
          </w:p>
        </w:tc>
      </w:tr>
      <w:tr>
        <w:tc>
          <w:tcPr/>
          <w:p>
            <w:pPr>
              <w:pStyle w:val="Compact"/>
            </w:pPr>
            <w:r>
              <w:t xml:space="preserve">EV / Revenue</w:t>
            </w:r>
          </w:p>
        </w:tc>
        <w:tc>
          <w:tcPr/>
          <w:p>
            <w:pPr>
              <w:pStyle w:val="Compact"/>
            </w:pPr>
            <w:r>
              <w:t xml:space="preserve">11.9x</w:t>
            </w:r>
          </w:p>
        </w:tc>
      </w:tr>
      <w:tr>
        <w:tc>
          <w:tcPr/>
          <w:p>
            <w:pPr>
              <w:pStyle w:val="Compact"/>
            </w:pPr>
            <w:r>
              <w:t xml:space="preserve">EV / EBITDA</w:t>
            </w:r>
          </w:p>
        </w:tc>
        <w:tc>
          <w:tcPr/>
          <w:p>
            <w:pPr>
              <w:pStyle w:val="Compact"/>
            </w:pPr>
            <w:r>
              <w:t xml:space="preserve">45.0x</w:t>
            </w:r>
          </w:p>
        </w:tc>
      </w:tr>
      <w:tr>
        <w:tc>
          <w:tcPr/>
          <w:p>
            <w:pPr>
              <w:pStyle w:val="Compact"/>
            </w:pPr>
            <w:r>
              <w:t xml:space="preserve">Forward P/E</w:t>
            </w:r>
          </w:p>
        </w:tc>
        <w:tc>
          <w:tcPr/>
          <w:p>
            <w:pPr>
              <w:pStyle w:val="Compact"/>
            </w:pPr>
            <w:r>
              <w:t xml:space="preserve">78.2x</w:t>
            </w:r>
          </w:p>
        </w:tc>
      </w:tr>
    </w:tbl>
    <w:p>
      <w:pPr>
        <w:pStyle w:val="BodyText"/>
      </w:pPr>
      <w:r>
        <w:t xml:space="preserve">The spread between a 7.2% topline growth rate and a 78x forward earnings multiple is stark. For the multiple to compress to a more normalized range, forward earnings must increase substantially — either through margin expansion, a step-change in revenue acceleration, or both. The payload provides no forward guidance or consensus earnings estimates, so the exact earnings trajectory implied by the market cannot be directly audited from available data; that is a gap worth flagging. What the payload does support is a conclusion that the current price is a recovery-or-bust bet: the market is paying for a step-change in profitability that has not yet materialized in trailing EBITDA margins of 26.4%.</w:t>
      </w:r>
    </w:p>
    <w:p>
      <w:r>
        <w:pict>
          <v:rect style="width:0;height:1.5pt" o:hralign="center" o:hrstd="t" o:hr="t"/>
        </w:pict>
      </w:r>
    </w:p>
    <w:bookmarkEnd w:id="20"/>
    <w:bookmarkStart w:id="21" w:name="business-overview-operations"/>
    <w:p>
      <w:pPr>
        <w:pStyle w:val="Heading2"/>
      </w:pPr>
      <w:r>
        <w:t xml:space="preserve">2. Business Overview &amp; Operations</w:t>
      </w:r>
    </w:p>
    <w:p>
      <w:pPr>
        <w:pStyle w:val="FirstParagraph"/>
      </w:pPr>
      <w:r>
        <w:t xml:space="preserve">Intel Corporation reported $53.8B in trailing revenue and $14.2B in trailing EBITDA, yielding a 26.4% EBITDA margin. The margin level and the 78x forward P/E multiple together signal that current earnings are materially below the market’s expectation of normalized earnings power — the recovery thesis rests on the gap between today’s 26.4% EBITDA margin and whatever margin profile the market is discounting forward.</w:t>
      </w:r>
    </w:p>
    <w:p>
      <w:pPr>
        <w:pStyle w:val="BodyText"/>
      </w:pPr>
      <w:r>
        <w:t xml:space="preserve">The payload does not provide segment-level revenue breakdowns, go-to-market details, or customer concentration data, so precise operational analysis is constrained to top-line metrics and event-level signals from the 8-K filing record.</w:t>
      </w:r>
    </w:p>
    <w:p>
      <w:pPr>
        <w:pStyle w:val="BodyText"/>
      </w:pPr>
      <w:r>
        <w:t xml:space="preserve">What the 8-K record does reveal is an organization in active transition. Two separate 5.02 filings in the April 3 and April 24, 2026 windows disclose director and officer departures or appointments — a pattern consistent with sustained leadership restructuring. A Q1 2026 earnings release (8-K Item 2.02, April 23) was accompanied the following day by a 5.02 leadership filing, suggesting organizational change is running in parallel with the financial reporting cycle rather than preceding a stable operational hand-off.</w:t>
      </w:r>
    </w:p>
    <w:p>
      <w:pPr>
        <w:pStyle w:val="BodyText"/>
      </w:pPr>
      <w:r>
        <w:t xml:space="preserve">The operating leverage question — where incremental revenue flows — is not directly answerable from the payload given the absence of fixed vs. variable cost breakdowns. However, a 26.4% EBITDA margin on $53.8B in revenue implies approximately $39.6B in cash operating costs. If the market’s 78x forward P/E implies a substantial re-rating of net earnings from current trough levels, operating leverage from revenue acceleration and cost rationalization would need to be significant — suggesting either meaningful fixed-cost absorption from topline growth or active headcount and capex restructuring. The job market data field is marked</w:t>
      </w:r>
      <w:r>
        <w:t xml:space="preserve"> </w:t>
      </w:r>
      <w:r>
        <w:rPr>
          <w:rStyle w:val="VerbatimChar"/>
        </w:rPr>
        <w:t xml:space="preserve">available: false</w:t>
      </w:r>
      <w:r>
        <w:t xml:space="preserve"> </w:t>
      </w:r>
      <w:r>
        <w:t xml:space="preserve">in the payload, meaning the hiring signal — a leading indicator of forward investment confidence — is absent from this analysis.</w:t>
      </w:r>
    </w:p>
    <w:p>
      <w:r>
        <w:pict>
          <v:rect style="width:0;height:1.5pt" o:hralign="center" o:hrstd="t" o:hr="t"/>
        </w:pict>
      </w:r>
    </w:p>
    <w:bookmarkEnd w:id="21"/>
    <w:bookmarkStart w:id="22" w:name="alternative-data-macro-signals"/>
    <w:p>
      <w:pPr>
        <w:pStyle w:val="Heading2"/>
      </w:pPr>
      <w:r>
        <w:t xml:space="preserve">3. Alternative Data &amp; Macro Signals</w:t>
      </w:r>
    </w:p>
    <w:p>
      <w:pPr>
        <w:pStyle w:val="FirstParagraph"/>
      </w:pPr>
      <w:r>
        <w:rPr>
          <w:b/>
          <w:bCs/>
        </w:rPr>
        <w:t xml:space="preserve">Google Trends: Event-Driven Attention Spike</w:t>
      </w:r>
    </w:p>
    <w:p>
      <w:pPr>
        <w:pStyle w:val="BodyText"/>
      </w:pPr>
      <w:r>
        <w:t xml:space="preserve">The Google Trends signal for the</w:t>
      </w:r>
      <w:r>
        <w:t xml:space="preserve"> </w:t>
      </w:r>
      <w:r>
        <w:t xml:space="preserve">“INTC”</w:t>
      </w:r>
      <w:r>
        <w:t xml:space="preserve"> </w:t>
      </w:r>
      <w:r>
        <w:t xml:space="preserve">keyword shows a velocity of +248.78% — nearly 2.5x acceleration in search interest against its trailing baseline — with a peak interest score of 100 (maximum) and a latest reading of 47. Trough interest sits at 18, meaning current interest remains roughly 2.6x its floor even after the spike has partially decayed.</w:t>
      </w:r>
    </w:p>
    <w:p>
      <w:pPr>
        <w:pStyle w:val="BodyText"/>
      </w:pPr>
      <w:r>
        <w:t xml:space="preserve">This pattern — a sharp spike to maximum followed by partial decay rather than full reversion — is characteristic of a newsflow-driven attention burst that has left residual elevated interest. In the context of Intel’s dense 8-K activity (two leadership change filings, an earnings release, a Reg FD disclosure, and a shareholder vote all within the January–May 2026 window), the velocity almost certainly reflects retail and institutional attention drawn to corporate restructuring newsflow. The persistence of interest above trough baseline suggests an ongoing structural narrative — whether that is M&amp;A speculation, product cycle anticipation, or leadership transition watchfulness — rather than a single one-day event. A velocity of +249% is one of the most elevated readings a single ticker can generate; it warrants attention as a positioning signal even if the underlying content of the attention cannot be confirmed from search data alone.</w:t>
      </w:r>
    </w:p>
    <w:p>
      <w:pPr>
        <w:pStyle w:val="BodyText"/>
      </w:pPr>
      <w:r>
        <w:rPr>
          <w:b/>
          <w:bCs/>
        </w:rPr>
        <w:t xml:space="preserve">Macro: Commercial Construction Spending — A Muted Read-Through</w:t>
      </w:r>
    </w:p>
    <w:p>
      <w:pPr>
        <w:pStyle w:val="BodyText"/>
      </w:pPr>
      <w:r>
        <w:t xml:space="preserve">The FRED series TLNRESCONS (Commercial Construction Spending, seasonally adjusted) shows a latest reading of $1,243,753MM as of March 2026, with a YoY change of +0.21% — effectively flat. Commercial construction spending serves as a proxy for data center and industrial facility investment activity, which drives demand for server, networking, and industrial semiconductor content. A near-zero growth rate is a muted macro read-through: it does not indicate deteriorating demand, but it provides no strong tailwind for enterprise infrastructure investment acceleration. For a semiconductor company at Intel’s scale, a flat construction spend environment constrains the</w:t>
      </w:r>
      <w:r>
        <w:t xml:space="preserve"> </w:t>
      </w:r>
      <w:r>
        <w:t xml:space="preserve">“new facility build → new hardware orders”</w:t>
      </w:r>
      <w:r>
        <w:t xml:space="preserve"> </w:t>
      </w:r>
      <w:r>
        <w:t xml:space="preserve">cycle that drives hyperscaler and industrial chip procurement. The metric does not independently argue against the recovery thesis, but it removes one potential macro catalyst from the bull case.</w:t>
      </w:r>
    </w:p>
    <w:p>
      <w:pPr>
        <w:pStyle w:val="BodyText"/>
      </w:pPr>
      <w:r>
        <w:rPr>
          <w:b/>
          <w:bCs/>
        </w:rPr>
        <w:t xml:space="preserve">SEC 8-K Filing Cadence: Governance in Flux</w:t>
      </w:r>
    </w:p>
    <w:p>
      <w:pPr>
        <w:pStyle w:val="BodyText"/>
      </w:pPr>
      <w:r>
        <w:t xml:space="preserve">Eight 8-K filings in the five-month window from January through May 2026, with two 5.02 (director/officer departure or appointment) events in a five-week span (April 3 and April 24), constitute a meaningful governance signal. The April 3 and April 24 filings bracket the Q1 2026 earnings release (April 23), creating a pattern worth monitoring: leadership changes proximate to earnings disclosures can indicate management disagreements over strategy, guidance, or structural direction, and erode the continuity of forward guidance credibility.</w:t>
      </w:r>
    </w:p>
    <w:p>
      <w:pPr>
        <w:pStyle w:val="BodyText"/>
      </w:pPr>
      <w:r>
        <w:t xml:space="preserve">The March 3, 2026 filing combining Item 7.01 (Regulation FD Disclosure) and Item 8.01 (Other Events) is consistent with investor communications outside the normal earnings calendar — frequently used for strategic announcements, conference appearances with material disclosures, or updated guidance. The Reg FD tag signals management was communicating forward-looking material information to the market outside of an earnings window; the actual content of that disclosure warrants review by anyone building a position on the recovery thesis, as it may contain guidance revisions or strategic pivots not captured in the trailing financials.</w:t>
      </w:r>
    </w:p>
    <w:p>
      <w:pPr>
        <w:pStyle w:val="BodyText"/>
      </w:pPr>
      <w:r>
        <w:t xml:space="preserve">The May 15, 2026 filing (Item 5.07, shareholder vote) adds a corporate governance layer. Shareholder votes at large-cap companies are often routine, but in the context of active restructuring and serial leadership changes, vote outcomes on board composition or strategic transactions are material signals.</w:t>
      </w:r>
    </w:p>
    <w:p>
      <w:pPr>
        <w:pStyle w:val="BodyText"/>
      </w:pPr>
      <w:r>
        <w:rPr>
          <w:b/>
          <w:bCs/>
        </w:rPr>
        <w:t xml:space="preserve">Litigation</w:t>
      </w:r>
    </w:p>
    <w:p>
      <w:pPr>
        <w:pStyle w:val="BodyText"/>
      </w:pPr>
      <w:r>
        <w:t xml:space="preserve">The litigation data is sourced from an EDGAR EFTS keyword fallback, as Stanford SCAC was unavailable due to restructuring at time of data pull. One result references a 2015 class action or litigation mention in a historical SEC filing. This is an aged data point with limited forward relevance; no active litigation signal emerges from the current payload. Active litigation exposure, if any, warrants independent legal review given the data gap.</w:t>
      </w:r>
    </w:p>
    <w:p>
      <w:r>
        <w:pict>
          <v:rect style="width:0;height:1.5pt" o:hralign="center" o:hrstd="t" o:hr="t"/>
        </w:pict>
      </w:r>
    </w:p>
    <w:bookmarkEnd w:id="22"/>
    <w:bookmarkStart w:id="23" w:name="consumer-public-opinion"/>
    <w:p>
      <w:pPr>
        <w:pStyle w:val="Heading2"/>
      </w:pPr>
      <w:r>
        <w:t xml:space="preserve">4. Consumer &amp; Public Opinion</w:t>
      </w:r>
    </w:p>
    <w:p>
      <w:pPr>
        <w:pStyle w:val="FirstParagraph"/>
      </w:pPr>
      <w:r>
        <w:t xml:space="preserve">The Reddit consumer sentiment module returned zero posts and no sentiment data. The data pull encountered a 403 error (blocked by Reddit), preventing retrieval from r/investing and r/stocks for the INTC / Intel Corporation query. Post count is 0, sentiment label and score are null, and no top themes or subreddit-level signal are available.</w:t>
      </w:r>
    </w:p>
    <w:p>
      <w:pPr>
        <w:pStyle w:val="BodyText"/>
      </w:pPr>
      <w:r>
        <w:t xml:space="preserve">The data gap should be noted but not overstated in the context of Intel’s business model. Intel’s revenue is generated through B2B channels — OEMs, hyperscalers, enterprise IT buyers, and industrial customers — rather than direct retail consumers. Reddit-sourced sentiment is most diagnostically useful for consumer-facing platforms where community chatter directly reflects end-user product experience and purchasing behavior. For a chip manufacturer whose commercial outcomes are determined by design wins, supply agreements, and procurement cycles, retail forum sentiment is a secondary signal rather than a primary demand indicator.</w:t>
      </w:r>
    </w:p>
    <w:p>
      <w:pPr>
        <w:pStyle w:val="BodyText"/>
      </w:pPr>
      <w:r>
        <w:t xml:space="preserve">Where retail sentiment does matter for INTC is as a proxy for speculative positioning and narrative momentum. The Google Trends velocity of +249% confirms that retail attention is well above trend. Reddit post volume (when accessible) would help quantify whether that attention is translating into bullish sentiment-driven buying pressure or bearish skepticism around the recovery thesis. The absence of that confirmation is a gap, not a conclusion — the Reddit signal being unavailable means the positioning read is incomplete, not that it is positive or negative.</w:t>
      </w:r>
    </w:p>
    <w:p>
      <w:r>
        <w:pict>
          <v:rect style="width:0;height:1.5pt" o:hralign="center" o:hrstd="t" o:hr="t"/>
        </w:pict>
      </w:r>
    </w:p>
    <w:bookmarkEnd w:id="23"/>
    <w:bookmarkStart w:id="24" w:name="key-risks-structural-barriers"/>
    <w:p>
      <w:pPr>
        <w:pStyle w:val="Heading2"/>
      </w:pPr>
      <w:r>
        <w:t xml:space="preserve">5. Key Risks &amp; Structural Barriers</w:t>
      </w:r>
    </w:p>
    <w:p>
      <w:pPr>
        <w:pStyle w:val="FirstParagraph"/>
      </w:pPr>
      <w:r>
        <w:rPr>
          <w:b/>
          <w:bCs/>
        </w:rPr>
        <w:t xml:space="preserve">1. Valuation Dislocation: Recovery Multiple Fully Priced</w:t>
      </w:r>
      <w:r>
        <w:t xml:space="preserve"> </w:t>
      </w:r>
      <w:r>
        <w:t xml:space="preserve">At 78x forward P/E and 45x trailing EV/EBITDA, there is no valuation cushion. The trailing EBITDA margin of 26.4% and 7.2% revenue growth do not independently justify these multiples; the entire thesis rests on a steep forward earnings recovery. If that recovery is delayed by competitive pressure, continued leadership instability, or capex cycle timing mismatches, the de-rating risk is asymmetric. The forward earnings estimate underlying the 78x multiple is not auditable from the payload — if it is based on aggressive analyst assumptions, the multiple is more fragile than it appears.</w:t>
      </w:r>
    </w:p>
    <w:p>
      <w:pPr>
        <w:pStyle w:val="BodyText"/>
      </w:pPr>
      <w:r>
        <w:rPr>
          <w:b/>
          <w:bCs/>
        </w:rPr>
        <w:t xml:space="preserve">2. Serial Leadership Instability at a Critical Strategic Inflection</w:t>
      </w:r>
      <w:r>
        <w:t xml:space="preserve"> </w:t>
      </w:r>
      <w:r>
        <w:t xml:space="preserve">Two 5.02 filings in five weeks, bracketing an earnings release, are not the cadence of a stabilized organization. C-suite and board-level turnover disrupts execution continuity, introduces strategic uncertainty, and can impair confidence among customers and capital partners precisely when Intel needs to demonstrate operational reliability. This is the most proximate and directly observable risk in the current payload, and it sits at the intersection of governance risk and execution risk.</w:t>
      </w:r>
    </w:p>
    <w:p>
      <w:pPr>
        <w:pStyle w:val="BodyText"/>
      </w:pPr>
      <w:r>
        <w:rPr>
          <w:b/>
          <w:bCs/>
        </w:rPr>
        <w:t xml:space="preserve">3. Earnings Estimate Opacity</w:t>
      </w:r>
      <w:r>
        <w:t xml:space="preserve"> </w:t>
      </w:r>
      <w:r>
        <w:t xml:space="preserve">No forward revenue, EBITDA, or EPS estimates are present in the payload. The forward P/E of 78x is a market-derived figure whose implied earnings cannot be independently verified from this data. Analysts building a position on the recovery thesis should source and stress-test consensus estimates separately; if those estimates have not been reset against recent quarters of execution, the multiple is unreliable as a valuation anchor.</w:t>
      </w:r>
    </w:p>
    <w:p>
      <w:pPr>
        <w:pStyle w:val="BodyText"/>
      </w:pPr>
      <w:r>
        <w:rPr>
          <w:b/>
          <w:bCs/>
        </w:rPr>
        <w:t xml:space="preserve">4. Flat Commercial Construction Macro</w:t>
      </w:r>
      <w:r>
        <w:t xml:space="preserve"> </w:t>
      </w:r>
      <w:r>
        <w:t xml:space="preserve">The TLNRESCONS series at +0.21% YoY removes a potential infrastructure demand tailwind from the forward thesis. While product cycle and backlog dynamics create lags between construction spend and chip procurement, a flat investment environment limits the macro support for enterprise hardware demand acceleration in the near term.</w:t>
      </w:r>
    </w:p>
    <w:p>
      <w:pPr>
        <w:pStyle w:val="BodyText"/>
      </w:pPr>
      <w:r>
        <w:rPr>
          <w:b/>
          <w:bCs/>
        </w:rPr>
        <w:t xml:space="preserve">5. Absent Hiring Signal</w:t>
      </w:r>
      <w:r>
        <w:t xml:space="preserve"> </w:t>
      </w:r>
      <w:r>
        <w:t xml:space="preserve">The job market data is marked unavailable in the payload. Engineering and manufacturing hiring trends are leading indicators of investment confidence and forward capacity planning. The inability to confirm whether Intel is building or reducing its labor base leaves a meaningful gap in assessing whether management’s operational actions match the recovery narrative in the stock price.</w:t>
      </w:r>
    </w:p>
    <w:p>
      <w:pPr>
        <w:pStyle w:val="BodyText"/>
      </w:pPr>
      <w:r>
        <w:rPr>
          <w:b/>
          <w:bCs/>
        </w:rPr>
        <w:t xml:space="preserve">6. Litigation Visibility Gap</w:t>
      </w:r>
      <w:r>
        <w:t xml:space="preserve"> </w:t>
      </w:r>
      <w:r>
        <w:t xml:space="preserve">Stanford SCAC is unavailable and the EDGAR keyword fallback surfaces only an aged 2015 reference. Active litigation exposure is not captured in the current payload. This is a due diligence gap rather than an active risk signal, but active legal review is warranted given the coverage absence.</w:t>
      </w:r>
    </w:p>
    <w:p>
      <w:r>
        <w:pict>
          <v:rect style="width:0;height:1.5pt" o:hralign="center" o:hrstd="t" o:hr="t"/>
        </w:pict>
      </w:r>
    </w:p>
    <w:bookmarkEnd w:id="24"/>
    <w:bookmarkStart w:id="25" w:name="investment-recommendation"/>
    <w:p>
      <w:pPr>
        <w:pStyle w:val="Heading2"/>
      </w:pPr>
      <w:r>
        <w:t xml:space="preserve">6. Investment Recommendation</w:t>
      </w:r>
    </w:p>
    <w:p>
      <w:pPr>
        <w:pStyle w:val="FirstParagraph"/>
      </w:pPr>
      <w:r>
        <w:rPr>
          <w:b/>
          <w:bCs/>
        </w:rPr>
        <w:t xml:space="preserve">Direction: Cautious / Neutral — Conviction: Low-to-Medium</w:t>
      </w:r>
    </w:p>
    <w:p>
      <w:pPr>
        <w:pStyle w:val="BodyText"/>
      </w:pPr>
      <w:r>
        <w:t xml:space="preserve">The data payload supports caution on INTC at current levels. The valuation — 78x forward P/E, 45x EV/EBITDA — prices a recovery scenario that the trailing metrics do not confirm: 26.4% EBITDA margin and 7.2% revenue growth do not independently justify these multiples, and the 2026 8-K record through May is dominated by leadership changes rather than execution milestones. Two 5.02 filings in five weeks, proximate to the Q1 2026 earnings release, represent active governance noise that competes directly with the recovery narrative.</w:t>
      </w:r>
    </w:p>
    <w:p>
      <w:pPr>
        <w:pStyle w:val="BodyText"/>
      </w:pPr>
      <w:r>
        <w:t xml:space="preserve">The Google Trends velocity of +249% confirms INTC is in the market’s attention. Whether that attention reflects genuine fundamental conviction or primarily speculative positioning cannot be resolved without Reddit sentiment data (blocked) or earnings call transcript and Reg FD disclosure analysis (outside the payload). The macro backdrop via commercial construction spending (+0.21% YoY) provides no acceleration tailwind.</w:t>
      </w:r>
    </w:p>
    <w:p>
      <w:pPr>
        <w:pStyle w:val="BodyText"/>
      </w:pPr>
      <w:r>
        <w:rPr>
          <w:b/>
          <w:bCs/>
        </w:rPr>
        <w:t xml:space="preserve">Variables that would change the call:</w:t>
      </w:r>
    </w:p>
    <w:p>
      <w:pPr>
        <w:pStyle w:val="Compact"/>
        <w:numPr>
          <w:ilvl w:val="0"/>
          <w:numId w:val="1001"/>
        </w:numPr>
      </w:pPr>
      <w:r>
        <w:t xml:space="preserve">A clean Q2 2026 earnings beat with EBITDA margin expansion beyond 26.4%, paired with stable leadership (no further 5.02 filings), would begin to validate the recovery multiple and warrant upgrading conviction.</w:t>
      </w:r>
    </w:p>
    <w:p>
      <w:pPr>
        <w:pStyle w:val="Compact"/>
        <w:numPr>
          <w:ilvl w:val="0"/>
          <w:numId w:val="1001"/>
        </w:numPr>
      </w:pPr>
      <w:r>
        <w:t xml:space="preserve">The actual content of the March 2026 Reg FD / Item 8.01 disclosure warrants review; if it contains a credible strategic roadmap mapping the path to the earnings power implied by 78x forward P/E, that would raise conviction on the bull case.</w:t>
      </w:r>
    </w:p>
    <w:p>
      <w:pPr>
        <w:pStyle w:val="Compact"/>
        <w:numPr>
          <w:ilvl w:val="0"/>
          <w:numId w:val="1001"/>
        </w:numPr>
      </w:pPr>
      <w:r>
        <w:t xml:space="preserve">Accelerating commercial construction spending (TLNRESCONS moving toward 3–5% YoY) would strengthen the infrastructure demand narrative supporting the recovery thesis.</w:t>
      </w:r>
    </w:p>
    <w:p>
      <w:pPr>
        <w:pStyle w:val="Compact"/>
        <w:numPr>
          <w:ilvl w:val="0"/>
          <w:numId w:val="1001"/>
        </w:numPr>
      </w:pPr>
      <w:r>
        <w:t xml:space="preserve">Any further 5.02 (leadership change) filings before Q2 earnings would deepen the governance risk and argue for further caution.</w:t>
      </w:r>
    </w:p>
    <w:p>
      <w:pPr>
        <w:pStyle w:val="FirstParagraph"/>
      </w:pPr>
      <w:r>
        <w:t xml:space="preserve">At current multiples and given the governance volatility visible in the 8-K record, reward-to-risk is unfavorable absent confirmation that the earnings recovery is underway and leadership has stabilized. Neutral / hold is the defensible posture until those signals arrive.</w:t>
      </w:r>
    </w:p>
    <w:p>
      <w:r>
        <w:pict>
          <v:rect style="width:0;height:1.5pt" o:hralign="center" o:hrstd="t" o:hr="t"/>
        </w:pict>
      </w:r>
    </w:p>
    <w:p>
      <w:pPr>
        <w:pStyle w:val="FirstParagraph"/>
      </w:pPr>
      <w:r>
        <w:rPr>
          <w:i/>
          <w:iCs/>
        </w:rPr>
        <w:t xml:space="preserve">Data sourced from TheoryY Finance Oracle MCP Server. Generated 2026-05-28. All figures from context payload; forward earnings estimates not independently verified.</w:t>
      </w:r>
    </w:p>
    <w:bookmarkEnd w:id="25"/>
    <w:bookmarkEnd w:id="26"/>
    <w:sectPr w:rsidR="00FB1402" w:rsidRPr="00FB1402" w:rsidSect="0051269A">
      <w:pgSz w:h="15840" w:w="12240"/>
      <w:pgMar w:bottom="1080" w:footer="720" w:gutter="0" w:header="720" w:left="1260" w:right="126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tka Text">
    <w:panose1 w:val="00000000000000000000"/>
    <w:charset w:val="00"/>
    <w:family w:val="auto"/>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01"/>
    <w:rsid w:val="003255DF"/>
    <w:rsid w:val="003E2763"/>
    <w:rsid w:val="0051269A"/>
    <w:rsid w:val="007207A6"/>
    <w:rsid w:val="00787CD3"/>
    <w:rsid w:val="00812908"/>
    <w:rsid w:val="00861EA6"/>
    <w:rsid w:val="00B45F6F"/>
    <w:rsid w:val="00BE2D5E"/>
    <w:rsid w:val="00DB2378"/>
    <w:rsid w:val="00E22ECB"/>
    <w:rsid w:val="00F252BD"/>
    <w:rsid w:val="00F80901"/>
    <w:rsid w:val="00FA3C3A"/>
    <w:rsid w:val="00FB1402"/>
  </w:rsids>
  <w:themeFontLang w:bidi="ar-SA"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bidi="ar-SA" w:eastAsia="zh-TW" w:val="en-GB"/>
        <w14:ligatures w14:val="standardContextual"/>
        <w:rFonts w:ascii="Calibri" w:cs="Calibri" w:hAnsi="Calibri"/>
        <w:sz w:val="21"/>
        <w:szCs w:val="21"/>
        <w:color w:val="1A1A1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87CD3"/>
    <w:pPr>
      <w:spacing w:after="120" w:before="0" w:line="276" w:lineRule="auto"/>
      <w:jc w:val="both"/>
    </w:pPr>
    <w:rPr>
      <w:rFonts w:ascii="Calibri" w:cs="Calibri" w:hAnsi="Calibri"/>
      <w:sz w:val="21"/>
      <w:szCs w:val="21"/>
      <w:color w:val="1A1A1A"/>
    </w:rPr>
  </w:style>
  <w:style w:styleId="Heading1" w:type="paragraph">
    <w:name w:val="heading 1"/>
    <w:basedOn w:val="Title"/>
    <w:next w:val="Normal"/>
    <w:link w:val="Heading1Char"/>
    <w:uiPriority w:val="9"/>
    <w:qFormat/>
    <w:rsid w:val="00FA3C3A"/>
    <w:pPr>
      <w:spacing w:after="120" w:before="480"/>
      <w:pBdr>
        <w:bottom w:color="0D1F3C" w:space="4" w:sz="6" w:val="single"/>
      </w:pBdr>
      <w:keepNext/>
      <w:outlineLvl w:val="0"/>
    </w:pPr>
    <w:rPr>
      <w:bCs w:val="0"/>
      <w:bCs/>
      <w:rFonts w:ascii="Garamond" w:cs="Garamond" w:hAnsi="Garamond"/>
      <w:sz w:val="32"/>
      <w:szCs w:val="32"/>
      <w:b/>
      <w:bCs/>
      <w:color w:val="0D1F3C"/>
    </w:rPr>
  </w:style>
  <w:style w:styleId="Heading2" w:type="paragraph">
    <w:name w:val="heading 2"/>
    <w:basedOn w:val="Heading1"/>
    <w:next w:val="Normal"/>
    <w:link w:val="Heading2Char"/>
    <w:uiPriority w:val="9"/>
    <w:unhideWhenUsed/>
    <w:qFormat/>
    <w:rsid w:val="00FA3C3A"/>
    <w:pPr>
      <w:spacing w:after="80" w:before="360"/>
      <w:keepNext/>
      <w:outlineLvl w:val="1"/>
    </w:pPr>
    <w:rPr>
      <w:bCs/>
      <w:iCs/>
      <w:bCs/>
      <w:rFonts w:ascii="Calibri" w:cs="Calibri" w:hAnsi="Calibri"/>
      <w:sz w:val="26"/>
      <w:szCs w:val="26"/>
      <w:b/>
      <w:bCs/>
      <w:color w:val="1E3A5F"/>
    </w:rPr>
  </w:style>
  <w:style w:styleId="Heading3" w:type="paragraph">
    <w:name w:val="heading 3"/>
    <w:basedOn w:val="Heading2"/>
    <w:next w:val="Normal"/>
    <w:link w:val="Heading3Char"/>
    <w:uiPriority w:val="9"/>
    <w:unhideWhenUsed/>
    <w:qFormat/>
    <w:rsid w:val="00FA3C3A"/>
    <w:pPr>
      <w:spacing w:after="60" w:before="240"/>
      <w:keepNext/>
      <w:outlineLvl w:val="2"/>
    </w:pPr>
    <w:rPr>
      <w:bCs w:val="0"/>
      <w:iCs w:val="0"/>
      <w:bCs/>
      <w:iCs/>
      <w:rFonts w:ascii="Calibri" w:cs="Calibri" w:hAnsi="Calibri"/>
      <w:sz w:val="22"/>
      <w:szCs w:val="22"/>
      <w:b/>
      <w:bCs/>
      <w:i/>
      <w:iCs/>
      <w:color w:val="B8922A"/>
    </w:rPr>
  </w:style>
  <w:style w:styleId="Heading4" w:type="paragraph">
    <w:name w:val="heading 4"/>
    <w:basedOn w:val="Heading3"/>
    <w:next w:val="Normal"/>
    <w:link w:val="Heading4Char"/>
    <w:uiPriority w:val="9"/>
    <w:unhideWhenUsed/>
    <w:qFormat/>
    <w:rsid w:val="00787CD3"/>
    <w:pPr>
      <w:keepLines/>
      <w:spacing w:after="60" w:before="180"/>
      <w:keepNext/>
    </w:pPr>
    <w:rPr>
      <w:iCs/>
      <w:bCs/>
      <w:rFonts w:ascii="Calibri" w:cs="Calibri" w:hAnsi="Calibri"/>
      <w:sz w:val="21"/>
      <w:szCs w:val="21"/>
      <w:b/>
      <w:bCs/>
      <w:color w:val="4A5568"/>
    </w:rPr>
  </w:style>
  <w:style w:styleId="Heading5" w:type="paragraph">
    <w:name w:val="heading 5"/>
    <w:basedOn w:val="Heading4"/>
    <w:next w:val="Normal"/>
    <w:link w:val="Heading5Char"/>
    <w:uiPriority w:val="9"/>
    <w:unhideWhenUsed/>
    <w:rsid w:val="00787CD3"/>
    <w:pPr>
      <w:spacing w:after="60" w:before="180"/>
      <w:keepNext/>
    </w:pPr>
    <w:rPr>
      <w:bCs/>
      <w:rFonts w:ascii="Calibri" w:cs="Calibri" w:hAnsi="Calibri"/>
      <w:sz w:val="21"/>
      <w:szCs w:val="21"/>
      <w:b/>
      <w:bCs/>
      <w:color w:val="4A5568"/>
    </w:rPr>
  </w:style>
  <w:style w:styleId="Heading6" w:type="paragraph">
    <w:name w:val="heading 6"/>
    <w:basedOn w:val="Heading5"/>
    <w:next w:val="Normal"/>
    <w:link w:val="Heading6Char"/>
    <w:uiPriority w:val="9"/>
    <w:unhideWhenUsed/>
    <w:rsid w:val="00787CD3"/>
    <w:pPr>
      <w:spacing w:after="60" w:before="180"/>
      <w:keepNext/>
    </w:pPr>
    <w:rPr>
      <w:iCs w:val="0"/>
      <w:bCs/>
      <w:rFonts w:ascii="Calibri" w:cs="Calibri" w:hAnsi="Calibri"/>
      <w:sz w:val="21"/>
      <w:szCs w:val="21"/>
      <w:b/>
      <w:bCs/>
      <w:color w:val="4A5568"/>
    </w:rPr>
  </w:style>
  <w:style w:styleId="Heading7" w:type="paragraph">
    <w:name w:val="heading 7"/>
    <w:basedOn w:val="Heading6"/>
    <w:next w:val="Normal"/>
    <w:link w:val="Heading7Char"/>
    <w:uiPriority w:val="9"/>
    <w:unhideWhenUsed/>
    <w:rsid w:val="00787CD3"/>
    <w:pPr>
      <w:outlineLvl w:val="6"/>
    </w:pPr>
    <w:rPr>
      <w:sz w:val="20"/>
    </w:rPr>
  </w:style>
  <w:style w:styleId="Heading8" w:type="paragraph">
    <w:name w:val="heading 8"/>
    <w:basedOn w:val="Heading7"/>
    <w:next w:val="Normal"/>
    <w:link w:val="Heading8Char"/>
    <w:uiPriority w:val="9"/>
    <w:unhideWhenUsed/>
    <w:rsid w:val="00787CD3"/>
    <w:pPr>
      <w:outlineLvl w:val="7"/>
    </w:pPr>
    <w:rPr>
      <w:iCs/>
      <w:color w:themeColor="text1" w:themeTint="D9" w:val="262626"/>
      <w:sz w:val="18"/>
    </w:rPr>
  </w:style>
  <w:style w:styleId="Heading9" w:type="paragraph">
    <w:name w:val="heading 9"/>
    <w:basedOn w:val="Heading8"/>
    <w:next w:val="Normal"/>
    <w:link w:val="Heading9Char"/>
    <w:uiPriority w:val="9"/>
    <w:unhideWhenUsed/>
    <w:rsid w:val="00787CD3"/>
    <w:pPr>
      <w:outlineLvl w:val="8"/>
    </w:pPr>
    <w:rPr>
      <w:color w:themeColor="text1" w:themeTint="D8" w:val="272727"/>
      <w:sz w:val="1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Borders>
        <w:top w:color="0D1F3C" w:sz="6" w:val="single"/>
        <w:left w:color="0D1F3C" w:sz="6" w:val="single"/>
        <w:bottom w:color="0D1F3C" w:sz="6" w:val="single"/>
        <w:right w:color="0D1F3C" w:sz="6" w:val="single"/>
        <w:insideH w:color="CBD5E0" w:sz="4" w:val="single"/>
        <w:insideV w:color="CBD5E0" w:sz="4" w:val="single"/>
      </w:tblBorders>
      <w:tblCellMar>
        <w:top w:type="dxa" w:w="60"/>
        <w:left w:type="dxa" w:w="120"/>
        <w:bottom w:type="dxa" w:w="60"/>
        <w:right w:type="dxa" w:w="120"/>
      </w:tblCellMar>
    </w:tblPr>
    <w:tcPr/>
    <w:rPr>
      <w:rFonts w:ascii="Calibri" w:cs="Calibri" w:hAnsi="Calibri"/>
      <w:sz w:val="19"/>
      <w:szCs w:val="19"/>
      <w:color w:val="1A1A1A"/>
    </w:rPr>
  </w:style>
  <w:style w:default="1" w:styleId="NoList" w:type="numbering">
    <w:name w:val="No List"/>
    <w:uiPriority w:val="99"/>
    <w:semiHidden/>
    <w:unhideWhenUsed/>
  </w:style>
  <w:style w:styleId="Title" w:type="paragraph">
    <w:name w:val="Title"/>
    <w:next w:val="Subtitle"/>
    <w:link w:val="TitleChar"/>
    <w:uiPriority w:val="10"/>
    <w:qFormat/>
    <w:rsid w:val="00812908"/>
    <w:pPr>
      <w:spacing w:after="240" w:before="0"/>
      <w:pBdr>
        <w:bottom w:color="B8922A" w:space="4" w:sz="12" w:val="single"/>
      </w:pBdr>
      <w:keepNext/>
    </w:pPr>
    <w:rPr>
      <w:bCs/>
      <w:bCs/>
      <w:rFonts w:ascii="Garamond" w:cs="Garamond" w:hAnsi="Garamond"/>
      <w:sz w:val="56"/>
      <w:szCs w:val="56"/>
      <w:b/>
      <w:bCs/>
      <w:color w:val="0D1F3C"/>
      <w:kern w:val="28"/>
    </w:rPr>
  </w:style>
  <w:style w:customStyle="1" w:styleId="TitleChar" w:type="character">
    <w:name w:val="Title Char"/>
    <w:basedOn w:val="DefaultParagraphFont"/>
    <w:link w:val="Title"/>
    <w:uiPriority w:val="10"/>
    <w:rsid w:val="00812908"/>
    <w:rPr>
      <w:bCs/>
      <w:lang w:val="en-GB"/>
      <w:bCs/>
      <w:rFonts w:ascii="Garamond" w:cs="Garamond" w:hAnsi="Garamond"/>
      <w:sz w:val="56"/>
      <w:szCs w:val="56"/>
      <w:b/>
      <w:bCs/>
      <w:color w:val="0D1F3C"/>
      <w:kern w:val="28"/>
    </w:rPr>
  </w:style>
  <w:style w:styleId="Subtitle" w:type="paragraph">
    <w:name w:val="Subtitle"/>
    <w:basedOn w:val="Title"/>
    <w:next w:val="Normal"/>
    <w:link w:val="SubtitleChar"/>
    <w:uiPriority w:val="11"/>
    <w:qFormat/>
    <w:rsid w:val="00812908"/>
    <w:rPr>
      <w:iCs/>
      <w:rFonts w:ascii="Calibri" w:cs="Calibri" w:hAnsi="Calibri"/>
      <w:sz w:val="20"/>
      <w:szCs w:val="20"/>
      <w:i/>
      <w:iCs/>
      <w:color w:val="4A5568"/>
    </w:rPr>
    <w:pPr>
      <w:spacing w:after="360" w:before="0"/>
      <w:keepNext/>
    </w:pPr>
  </w:style>
  <w:style w:customStyle="1" w:styleId="SubtitleChar" w:type="character">
    <w:name w:val="Subtitle Char"/>
    <w:basedOn w:val="DefaultParagraphFont"/>
    <w:link w:val="Subtitle"/>
    <w:uiPriority w:val="11"/>
    <w:rsid w:val="00F80901"/>
    <w:rPr>
      <w:bCs/>
      <w:iCs/>
      <w:rFonts w:ascii="Calibri" w:cs="Calibri" w:hAnsi="Calibri"/>
      <w:sz w:val="20"/>
      <w:szCs w:val="20"/>
      <w:i/>
      <w:iCs/>
      <w:color w:val="4A5568"/>
    </w:rPr>
  </w:style>
  <w:style w:customStyle="1" w:styleId="Heading1Char" w:type="character">
    <w:name w:val="Heading 1 Char"/>
    <w:basedOn w:val="DefaultParagraphFont"/>
    <w:link w:val="Heading1"/>
    <w:uiPriority w:val="9"/>
    <w:rsid w:val="00FA3C3A"/>
    <w:rPr>
      <w:bCs/>
      <w:rFonts w:ascii="Garamond" w:cs="Garamond" w:hAnsi="Garamond"/>
      <w:sz w:val="32"/>
      <w:szCs w:val="32"/>
      <w:b/>
      <w:bCs/>
      <w:color w:val="0D1F3C"/>
    </w:rPr>
  </w:style>
  <w:style w:customStyle="1" w:styleId="Heading2Char" w:type="character">
    <w:name w:val="Heading 2 Char"/>
    <w:basedOn w:val="DefaultParagraphFont"/>
    <w:link w:val="Heading2"/>
    <w:uiPriority w:val="9"/>
    <w:rsid w:val="00FA3C3A"/>
    <w:rPr>
      <w:bCs/>
      <w:iCs/>
      <w:bCs/>
      <w:rFonts w:ascii="Calibri" w:cs="Calibri" w:hAnsi="Calibri"/>
      <w:sz w:val="26"/>
      <w:szCs w:val="26"/>
      <w:b/>
      <w:bCs/>
      <w:color w:val="1E3A5F"/>
    </w:rPr>
  </w:style>
  <w:style w:customStyle="1" w:styleId="Heading3Char" w:type="character">
    <w:name w:val="Heading 3 Char"/>
    <w:basedOn w:val="DefaultParagraphFont"/>
    <w:link w:val="Heading3"/>
    <w:uiPriority w:val="9"/>
    <w:rsid w:val="00FA3C3A"/>
    <w:rPr>
      <w:bCs/>
      <w:iCs/>
      <w:rFonts w:ascii="Calibri" w:cs="Calibri" w:hAnsi="Calibri"/>
      <w:sz w:val="22"/>
      <w:szCs w:val="22"/>
      <w:b/>
      <w:bCs/>
      <w:i/>
      <w:iCs/>
      <w:color w:val="B8922A"/>
    </w:rPr>
  </w:style>
  <w:style w:customStyle="1" w:styleId="Heading4Char" w:type="character">
    <w:name w:val="Heading 4 Char"/>
    <w:basedOn w:val="DefaultParagraphFont"/>
    <w:link w:val="Heading4"/>
    <w:uiPriority w:val="9"/>
    <w:rsid w:val="00787CD3"/>
    <w:rPr>
      <w:rFonts w:ascii="Sitka Text" w:cstheme="majorBidi" w:eastAsiaTheme="majorEastAsia" w:hAnsi="Sitka Text"/>
      <w:b/>
      <w:i/>
      <w:iCs/>
      <w:color w:themeColor="accent1" w:themeShade="BF" w:val="0F4761"/>
      <w:szCs w:val="28"/>
    </w:rPr>
  </w:style>
  <w:style w:customStyle="1" w:styleId="Heading5Char" w:type="character">
    <w:name w:val="Heading 5 Char"/>
    <w:basedOn w:val="DefaultParagraphFont"/>
    <w:link w:val="Heading5"/>
    <w:uiPriority w:val="9"/>
    <w:rsid w:val="00787CD3"/>
    <w:rPr>
      <w:rFonts w:ascii="Sitka Text" w:cstheme="majorBidi" w:eastAsiaTheme="majorEastAsia" w:hAnsi="Sitka Text"/>
      <w:i/>
      <w:iCs/>
      <w:color w:themeColor="accent1" w:themeShade="BF" w:val="0F4761"/>
      <w:szCs w:val="28"/>
    </w:rPr>
  </w:style>
  <w:style w:customStyle="1" w:styleId="Heading6Char" w:type="character">
    <w:name w:val="Heading 6 Char"/>
    <w:basedOn w:val="DefaultParagraphFont"/>
    <w:link w:val="Heading6"/>
    <w:uiPriority w:val="9"/>
    <w:rsid w:val="00787CD3"/>
    <w:rPr>
      <w:rFonts w:ascii="Sitka Text" w:cstheme="majorBidi" w:eastAsiaTheme="majorEastAsia" w:hAnsi="Sitka Text"/>
      <w:color w:themeColor="text1" w:themeTint="A6" w:val="595959"/>
      <w:szCs w:val="28"/>
    </w:rPr>
  </w:style>
  <w:style w:customStyle="1" w:styleId="Heading7Char" w:type="character">
    <w:name w:val="Heading 7 Char"/>
    <w:basedOn w:val="DefaultParagraphFont"/>
    <w:link w:val="Heading7"/>
    <w:uiPriority w:val="9"/>
    <w:rsid w:val="00787CD3"/>
    <w:rPr>
      <w:rFonts w:ascii="Sitka Text" w:cstheme="majorBidi" w:eastAsiaTheme="majorEastAsia" w:hAnsi="Sitka Text"/>
      <w:i/>
      <w:color w:themeColor="text1" w:themeTint="A6" w:val="595959"/>
      <w:sz w:val="20"/>
      <w:szCs w:val="28"/>
    </w:rPr>
  </w:style>
  <w:style w:customStyle="1" w:styleId="Heading8Char" w:type="character">
    <w:name w:val="Heading 8 Char"/>
    <w:basedOn w:val="DefaultParagraphFont"/>
    <w:link w:val="Heading8"/>
    <w:uiPriority w:val="9"/>
    <w:rsid w:val="00787CD3"/>
    <w:rPr>
      <w:rFonts w:ascii="Sitka Text" w:cstheme="majorBidi" w:eastAsiaTheme="majorEastAsia" w:hAnsi="Sitka Text"/>
      <w:i/>
      <w:iCs/>
      <w:color w:themeColor="text1" w:themeTint="D9" w:val="262626"/>
      <w:sz w:val="18"/>
      <w:szCs w:val="28"/>
    </w:rPr>
  </w:style>
  <w:style w:customStyle="1" w:styleId="Heading9Char" w:type="character">
    <w:name w:val="Heading 9 Char"/>
    <w:basedOn w:val="DefaultParagraphFont"/>
    <w:link w:val="Heading9"/>
    <w:uiPriority w:val="9"/>
    <w:rsid w:val="00787CD3"/>
    <w:rPr>
      <w:rFonts w:ascii="Sitka Text" w:cstheme="majorBidi" w:eastAsiaTheme="majorEastAsia" w:hAnsi="Sitka Text"/>
      <w:i/>
      <w:iCs/>
      <w:color w:themeColor="text1" w:themeTint="D8" w:val="272727"/>
      <w:sz w:val="16"/>
      <w:szCs w:val="28"/>
    </w:rPr>
  </w:style>
  <w:style w:styleId="Quote" w:type="paragraph">
    <w:name w:val="Quote"/>
    <w:basedOn w:val="Normal"/>
    <w:next w:val="Normal"/>
    <w:link w:val="QuoteChar"/>
    <w:uiPriority w:val="29"/>
    <w:qFormat/>
    <w:rsid w:val="00F80901"/>
    <w:pPr>
      <w:jc w:val="center"/>
      <w:ind w:left="720" w:right="360"/>
      <w:spacing w:after="120" w:before="120"/>
      <w:pBdr>
        <w:left w:color="B8922A" w:space="12" w:sz="24" w:val="single"/>
      </w:pBdr>
    </w:pPr>
    <w:rPr>
      <w:iCs/>
      <w:iCs/>
      <w:rFonts w:ascii="Garamond" w:cs="Garamond" w:hAnsi="Garamond"/>
      <w:sz w:val="21"/>
      <w:szCs w:val="21"/>
      <w:i/>
      <w:iCs/>
      <w:color w:val="4A5568"/>
    </w:rPr>
  </w:style>
  <w:style w:customStyle="1" w:styleId="QuoteChar" w:type="character">
    <w:name w:val="Quote Char"/>
    <w:basedOn w:val="DefaultParagraphFont"/>
    <w:link w:val="Quote"/>
    <w:uiPriority w:val="29"/>
    <w:rsid w:val="00F80901"/>
    <w:rPr>
      <w:rFonts w:ascii="Times New Roman" w:cs="Times New Roman" w:hAnsi="Times New Roman"/>
      <w:i/>
      <w:iCs/>
      <w:color w:themeColor="text1" w:themeTint="BF" w:val="404040"/>
    </w:rPr>
  </w:style>
  <w:style w:styleId="IntenseQuote" w:type="paragraph">
    <w:name w:val="Intense Quote"/>
    <w:basedOn w:val="Normal"/>
    <w:next w:val="Normal"/>
    <w:link w:val="IntenseQuoteChar"/>
    <w:uiPriority w:val="30"/>
    <w:qFormat/>
    <w:rsid w:val="00F80901"/>
    <w:pPr>
      <w:jc w:val="center"/>
      <w:ind w:left="720" w:right="360"/>
      <w:spacing w:after="120" w:before="120"/>
      <w:pBdr>
        <w:left w:color="0D1F3C" w:space="12" w:sz="36" w:val="single"/>
      </w:pBdr>
    </w:pPr>
    <w:rPr>
      <w:iCs/>
      <w:bCs/>
      <w:iCs/>
      <w:rFonts w:ascii="Garamond" w:cs="Garamond" w:hAnsi="Garamond"/>
      <w:sz w:val="21"/>
      <w:szCs w:val="21"/>
      <w:b/>
      <w:bCs/>
      <w:i/>
      <w:iCs/>
      <w:color w:val="0D1F3C"/>
    </w:rPr>
  </w:style>
  <w:style w:customStyle="1" w:styleId="IntenseQuoteChar" w:type="character">
    <w:name w:val="Intense Quote Char"/>
    <w:basedOn w:val="DefaultParagraphFont"/>
    <w:link w:val="IntenseQuote"/>
    <w:uiPriority w:val="30"/>
    <w:rsid w:val="00F80901"/>
    <w:rPr>
      <w:rFonts w:ascii="Times New Roman" w:cs="Times New Roman" w:hAnsi="Times New Roman"/>
      <w:i/>
      <w:iCs/>
      <w:color w:themeColor="accent1" w:themeShade="BF" w:val="0F47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Serif Notes.dotx</Template>
  <TotalTime>50</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2026-05-28T18:20:46Z</dcterms:created>
  <dcterms:modified xsi:type="dcterms:W3CDTF">2026-05-28T18:20:46Z</dcterms:modified>
</cp:coreProperties>
</file>

<file path=docProps/custom.xml><?xml version="1.0" encoding="utf-8"?>
<Properties xmlns="http://schemas.openxmlformats.org/officeDocument/2006/custom-properties" xmlns:vt="http://schemas.openxmlformats.org/officeDocument/2006/docPropsVTypes"/>
</file>