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stment-memo-meta"/>
    <w:p>
      <w:pPr>
        <w:pStyle w:val="Heading1"/>
      </w:pPr>
      <w:r>
        <w:t xml:space="preserve">Investment Memo: META</w:t>
      </w:r>
    </w:p>
    <w:p>
      <w:pPr>
        <w:pStyle w:val="FirstParagraph"/>
      </w:pPr>
      <w:r>
        <w:rPr>
          <w:b/>
          <w:bCs/>
        </w:rPr>
        <w:t xml:space="preserve">Meta Platforms, Inc. (NASDAQ: META)</w:t>
      </w:r>
      <w:r>
        <w:t xml:space="preserve"> </w:t>
      </w:r>
      <w:r>
        <w:rPr>
          <w:i/>
          <w:iCs/>
        </w:rPr>
        <w:t xml:space="preserve">Generated: 2026-05-28 | Schema v1.3 | TheoryY Finance Oracle</w:t>
      </w:r>
    </w:p>
    <w:p>
      <w:r>
        <w:pict>
          <v:rect style="width:0;height:1.5pt" o:hralign="center" o:hrstd="t" o:hr="t"/>
        </w:pict>
      </w:r>
    </w:p>
    <w:bookmarkStart w:id="20" w:name="one-line-thesis-valuation-snapshot"/>
    <w:p>
      <w:pPr>
        <w:pStyle w:val="Heading2"/>
      </w:pPr>
      <w:r>
        <w:t xml:space="preserve">1. One-Line Thesis &amp; Valuation Snapshot</w:t>
      </w:r>
    </w:p>
    <w:p>
      <w:pPr>
        <w:pStyle w:val="FirstParagraph"/>
      </w:pPr>
      <w:r>
        <w:t xml:space="preserve">META is a 33%-revenue-growth business with 51% EBITDA margins trading at 17.5x forward earnings — a multiple that prices in zero credit for AI monetization upside and effectively treats this as a mature, low-growth industrial.</w:t>
      </w:r>
    </w:p>
    <w:p>
      <w:pPr>
        <w:pStyle w:val="BodyText"/>
      </w:pPr>
      <w:r>
        <w:rPr>
          <w:b/>
          <w:bCs/>
        </w:rPr>
        <w:t xml:space="preserve">Valuation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Market Cap</w:t>
            </w:r>
          </w:p>
        </w:tc>
        <w:tc>
          <w:tcPr/>
          <w:p>
            <w:pPr>
              <w:pStyle w:val="Compact"/>
            </w:pPr>
            <w:r>
              <w:t xml:space="preserve">$1,607,368MM (~$1.607T)</w:t>
            </w:r>
          </w:p>
        </w:tc>
      </w:tr>
      <w:tr>
        <w:tc>
          <w:tcPr/>
          <w:p>
            <w:pPr>
              <w:pStyle w:val="Compact"/>
            </w:pPr>
            <w:r>
              <w:t xml:space="preserve">Enterprise Value</w:t>
            </w:r>
          </w:p>
        </w:tc>
        <w:tc>
          <w:tcPr/>
          <w:p>
            <w:pPr>
              <w:pStyle w:val="Compact"/>
            </w:pPr>
            <w:r>
              <w:t xml:space="preserve">$1,618,135MM (~$1.618T)</w:t>
            </w:r>
          </w:p>
        </w:tc>
      </w:tr>
      <w:tr>
        <w:tc>
          <w:tcPr/>
          <w:p>
            <w:pPr>
              <w:pStyle w:val="Compact"/>
            </w:pPr>
            <w:r>
              <w:t xml:space="preserve">Trailing Revenue (TTM)</w:t>
            </w:r>
          </w:p>
        </w:tc>
        <w:tc>
          <w:tcPr/>
          <w:p>
            <w:pPr>
              <w:pStyle w:val="Compact"/>
            </w:pPr>
            <w:r>
              <w:t xml:space="preserve">$214,963MM</w:t>
            </w:r>
          </w:p>
        </w:tc>
      </w:tr>
      <w:tr>
        <w:tc>
          <w:tcPr/>
          <w:p>
            <w:pPr>
              <w:pStyle w:val="Compact"/>
            </w:pPr>
            <w:r>
              <w:t xml:space="preserve">Trailing EBITDA (TTM)</w:t>
            </w:r>
          </w:p>
        </w:tc>
        <w:tc>
          <w:tcPr/>
          <w:p>
            <w:pPr>
              <w:pStyle w:val="Compact"/>
            </w:pPr>
            <w:r>
              <w:t xml:space="preserve">$109,308MM</w:t>
            </w:r>
          </w:p>
        </w:tc>
      </w:tr>
      <w:tr>
        <w:tc>
          <w:tcPr/>
          <w:p>
            <w:pPr>
              <w:pStyle w:val="Compact"/>
            </w:pPr>
            <w:r>
              <w:t xml:space="preserve">EBITDA Margin</w:t>
            </w:r>
          </w:p>
        </w:tc>
        <w:tc>
          <w:tcPr/>
          <w:p>
            <w:pPr>
              <w:pStyle w:val="Compact"/>
            </w:pPr>
            <w:r>
              <w:t xml:space="preserve">50.8%</w:t>
            </w:r>
          </w:p>
        </w:tc>
      </w:tr>
      <w:tr>
        <w:tc>
          <w:tcPr/>
          <w:p>
            <w:pPr>
              <w:pStyle w:val="Compact"/>
            </w:pPr>
            <w:r>
              <w:t xml:space="preserve">EV/Revenue</w:t>
            </w:r>
          </w:p>
        </w:tc>
        <w:tc>
          <w:tcPr/>
          <w:p>
            <w:pPr>
              <w:pStyle w:val="Compact"/>
            </w:pPr>
            <w:r>
              <w:t xml:space="preserve">7.53x</w:t>
            </w:r>
          </w:p>
        </w:tc>
      </w:tr>
      <w:tr>
        <w:tc>
          <w:tcPr/>
          <w:p>
            <w:pPr>
              <w:pStyle w:val="Compact"/>
            </w:pPr>
            <w:r>
              <w:t xml:space="preserve">EV/EBITDA</w:t>
            </w:r>
          </w:p>
        </w:tc>
        <w:tc>
          <w:tcPr/>
          <w:p>
            <w:pPr>
              <w:pStyle w:val="Compact"/>
            </w:pPr>
            <w:r>
              <w:t xml:space="preserve">14.8x</w:t>
            </w:r>
          </w:p>
        </w:tc>
      </w:tr>
      <w:tr>
        <w:tc>
          <w:tcPr/>
          <w:p>
            <w:pPr>
              <w:pStyle w:val="Compact"/>
            </w:pPr>
            <w:r>
              <w:t xml:space="preserve">Forward P/E</w:t>
            </w:r>
          </w:p>
        </w:tc>
        <w:tc>
          <w:tcPr/>
          <w:p>
            <w:pPr>
              <w:pStyle w:val="Compact"/>
            </w:pPr>
            <w:r>
              <w:t xml:space="preserve">17.51x</w:t>
            </w:r>
          </w:p>
        </w:tc>
      </w:tr>
      <w:tr>
        <w:tc>
          <w:tcPr/>
          <w:p>
            <w:pPr>
              <w:pStyle w:val="Compact"/>
            </w:pPr>
            <w:r>
              <w:t xml:space="preserve">YoY Revenue Growth</w:t>
            </w:r>
          </w:p>
        </w:tc>
        <w:tc>
          <w:tcPr/>
          <w:p>
            <w:pPr>
              <w:pStyle w:val="Compact"/>
            </w:pPr>
            <w:r>
              <w:t xml:space="preserve">33.1%</w:t>
            </w:r>
          </w:p>
        </w:tc>
      </w:tr>
    </w:tbl>
    <w:p>
      <w:pPr>
        <w:pStyle w:val="BodyText"/>
      </w:pPr>
      <w:r>
        <w:t xml:space="preserve">The compression in multiples is the central analytical tension. A business compounding revenue at 33% with EBITDA margins above 50% — a profile that historically commands 30–40x forward earnings in software — is being valued at a discount-to-growth PEG. The 14.8x EV/EBITDA on $109B of trailing EBITDA implies the market is either discounting the durability of advertising revenue, pricing in sustained AI capex headwinds, or both. The case for ownership rests on which assumption is structurally correct.</w:t>
      </w:r>
    </w:p>
    <w:p>
      <w:pPr>
        <w:pStyle w:val="BodyText"/>
      </w:pPr>
      <w:r>
        <w:t xml:space="preserve">The peer comparables section is empty in this system’s payload — META falls outside the pre-configured PropTech and Facilities universe. Relative valuation is therefore absent from this memo; all conclusions are drawn from absolute metrics and alt-signal context.</w:t>
      </w:r>
    </w:p>
    <w:p>
      <w:r>
        <w:pict>
          <v:rect style="width:0;height:1.5pt" o:hralign="center" o:hrstd="t" o:hr="t"/>
        </w:pict>
      </w:r>
    </w:p>
    <w:bookmarkEnd w:id="20"/>
    <w:bookmarkStart w:id="21" w:name="business-overview-operations"/>
    <w:p>
      <w:pPr>
        <w:pStyle w:val="Heading2"/>
      </w:pPr>
      <w:r>
        <w:t xml:space="preserve">2. Business Overview &amp; Operations</w:t>
      </w:r>
    </w:p>
    <w:p>
      <w:pPr>
        <w:pStyle w:val="FirstParagraph"/>
      </w:pPr>
      <w:r>
        <w:t xml:space="preserve">META’s revenue model is entirely advertising. $214,963MM in trailing revenue flows almost exclusively from CPM and CPC-based placements across Facebook, Instagram, WhatsApp, and Threads, with impression inventory priced algorithmically against a real-time auction. The operating architecture is a two-sided attention market: users contribute engagement time, which is sold to advertisers as targeted reach.</w:t>
      </w:r>
    </w:p>
    <w:p>
      <w:pPr>
        <w:pStyle w:val="BodyText"/>
      </w:pPr>
      <w:r>
        <w:rPr>
          <w:b/>
          <w:bCs/>
        </w:rPr>
        <w:t xml:space="preserve">Where the operating leverage sits:</w:t>
      </w:r>
      <w:r>
        <w:t xml:space="preserve"> </w:t>
      </w:r>
      <w:r>
        <w:t xml:space="preserve">The unit economics are structurally favorable. Once the ad-serving infrastructure — servers, ML ranking models, recommendation algorithms — is built and capitalized, incremental revenue from higher ad loads or higher CPMs carries near-zero marginal cost. The 50.8% EBITDA margin on $215B of revenue reflects this: META’s cost base scales more slowly than its revenue line because the variable cost of delivering one more impression is effectively rounding error.</w:t>
      </w:r>
    </w:p>
    <w:p>
      <w:pPr>
        <w:pStyle w:val="BodyText"/>
      </w:pPr>
      <w:r>
        <w:rPr>
          <w:b/>
          <w:bCs/>
        </w:rPr>
        <w:t xml:space="preserve">Cost structure:</w:t>
      </w:r>
      <w:r>
        <w:t xml:space="preserve"> </w:t>
      </w:r>
      <w:r>
        <w:t xml:space="preserve">The primary cost categories are infrastructure (data centers, networking), headcount (engineering and ML research), and Reality Labs — the AR/VR division that runs at a persistent operating loss. Reality Labs is the structural drag on reported margins; excluding it would push EBITDA margins materially above 50.8%. The payload does not disaggregate segment-level margins, so the exact Reality Labs burden cannot be quantified from available data.</w:t>
      </w:r>
    </w:p>
    <w:p>
      <w:pPr>
        <w:pStyle w:val="BodyText"/>
      </w:pPr>
      <w:r>
        <w:rPr>
          <w:b/>
          <w:bCs/>
        </w:rPr>
        <w:t xml:space="preserve">Revenue growth durability:</w:t>
      </w:r>
      <w:r>
        <w:t xml:space="preserve"> </w:t>
      </w:r>
      <w:r>
        <w:t xml:space="preserve">33.1% YoY growth on a $215B base is not driven by geographic or user count expansion at this scale — it requires CPM inflation, higher ad load, or improved targeting yield. The most likely driver is AI-enhanced ad targeting (Advantage+ automated campaigns), which raises the effective CPM advertisers are willing to pay by improving conversion rates. This is the core operating leverage thesis: AI investment flowing back into ad yield improvement, widening the moat against competing DSPs and publisher networks.</w:t>
      </w:r>
    </w:p>
    <w:p>
      <w:pPr>
        <w:pStyle w:val="BodyText"/>
      </w:pPr>
      <w:r>
        <w:rPr>
          <w:b/>
          <w:bCs/>
        </w:rPr>
        <w:t xml:space="preserve">Capital allocation signal:</w:t>
      </w:r>
      <w:r>
        <w:t xml:space="preserve"> </w:t>
      </w:r>
      <w:r>
        <w:t xml:space="preserve">Three 8-K Item 5.02 filings (Directors/Officers Departure/Appointment) between December 2025 and April 2026 suggest leadership-level transitions at a pace that warrants monitoring, though the payload does not identify which roles changed.</w:t>
      </w:r>
    </w:p>
    <w:p>
      <w:r>
        <w:pict>
          <v:rect style="width:0;height:1.5pt" o:hralign="center" o:hrstd="t" o:hr="t"/>
        </w:pict>
      </w:r>
    </w:p>
    <w:bookmarkEnd w:id="21"/>
    <w:bookmarkStart w:id="22" w:name="alternative-data-macro-signals"/>
    <w:p>
      <w:pPr>
        <w:pStyle w:val="Heading2"/>
      </w:pPr>
      <w:r>
        <w:t xml:space="preserve">3. Alternative Data &amp; Macro Signals</w:t>
      </w:r>
    </w:p>
    <w:p>
      <w:pPr>
        <w:pStyle w:val="FirstParagraph"/>
      </w:pPr>
      <w:r>
        <w:rPr>
          <w:b/>
          <w:bCs/>
        </w:rPr>
        <w:t xml:space="preserve">Google Trends — velocity +36.5%</w:t>
      </w:r>
    </w:p>
    <w:p>
      <w:pPr>
        <w:pStyle w:val="BodyText"/>
      </w:pPr>
      <w:r>
        <w:t xml:space="preserve">The</w:t>
      </w:r>
      <w:r>
        <w:t xml:space="preserve"> </w:t>
      </w:r>
      <w:r>
        <w:t xml:space="preserve">“META”</w:t>
      </w:r>
      <w:r>
        <w:t xml:space="preserve"> </w:t>
      </w:r>
      <w:r>
        <w:t xml:space="preserve">search term shows a velocity of +36.5% over the trailing 12 months — the mean of the last four weekly observations is running 36.5% above the mean of the first four. Peak interest hit 100 (Google’s normalized maximum); the latest reading is 64 against a trough of 44. This uptick is not driven by consumer discovery (META is not a new brand) but likely reflects heightened investor and developer attention — consistent with the Llama model release cadence, AI product announcements, and earnings-related search spikes visible in the 8-K feed. A rising trend in investor-grade search interest for the company ticker/name is correlated with institutional reappraisal of the investment thesis.</w:t>
      </w:r>
    </w:p>
    <w:p>
      <w:pPr>
        <w:pStyle w:val="BodyText"/>
      </w:pPr>
      <w:r>
        <w:rPr>
          <w:b/>
          <w:bCs/>
        </w:rPr>
        <w:t xml:space="preserve">FRED Macro — Commercial Construction Spending (TLNRESCONS): +0.21% YoY</w:t>
      </w:r>
    </w:p>
    <w:p>
      <w:pPr>
        <w:pStyle w:val="BodyText"/>
      </w:pPr>
      <w:r>
        <w:t xml:space="preserve">The FRED indicator carried in this payload (TLNRESCONS — Total Nonresidential Construction Spending, Seasonally Adjusted) is the sector-wide CRE backdrop used for PropTech and Facilities comps in this system. At $1,243,753MM and essentially flat YoY (+0.21%), it accurately describes the macro environment for companies like PCOR or JCI. For META, it has no direct revenue transmission — digital advertising demand correlates with GDP and consumer/SMB spending, not CRE construction starts. The macro signal should be treated as absent for purposes of this memo.</w:t>
      </w:r>
    </w:p>
    <w:p>
      <w:pPr>
        <w:pStyle w:val="BodyText"/>
      </w:pPr>
      <w:r>
        <w:rPr>
          <w:b/>
          <w:bCs/>
        </w:rPr>
        <w:t xml:space="preserve">SEC 8-K Events — 8 filings over trailing 12 months</w:t>
      </w:r>
    </w:p>
    <w:p>
      <w:pPr>
        <w:pStyle w:val="BodyText"/>
      </w:pPr>
      <w:r>
        <w:t xml:space="preserve">The 8-K feed surfaces two distinct patterns:</w:t>
      </w:r>
    </w:p>
    <w:p>
      <w:pPr>
        <w:numPr>
          <w:ilvl w:val="0"/>
          <w:numId w:val="1001"/>
        </w:numPr>
      </w:pPr>
      <w:r>
        <w:rPr>
          <w:i/>
          <w:iCs/>
        </w:rPr>
        <w:t xml:space="preserve">Earnings cadence:</w:t>
      </w:r>
      <w:r>
        <w:t xml:space="preserve"> </w:t>
      </w:r>
      <w:r>
        <w:t xml:space="preserve">Results of Operations filings on 2026-04-29 (Q1 2026) and 2026-01-28 (Q4 2025) confirm quarterly earnings reporting with no delays or amendments — operationally clean.</w:t>
      </w:r>
    </w:p>
    <w:p>
      <w:pPr>
        <w:numPr>
          <w:ilvl w:val="0"/>
          <w:numId w:val="1001"/>
        </w:numPr>
      </w:pPr>
      <w:r>
        <w:rPr>
          <w:i/>
          <w:iCs/>
        </w:rPr>
        <w:t xml:space="preserve">Leadership changes:</w:t>
      </w:r>
      <w:r>
        <w:t xml:space="preserve"> </w:t>
      </w:r>
      <w:r>
        <w:t xml:space="preserve">Three Item 5.02 filings (2026-04-14, 2026-01-16, 2025-12-19) indicate director or officer-level appointments/departures at a rate of roughly one every six weeks across this period. Without document-level parsing (outside this payload’s scope), the specific roles and direction of change (departure vs. appointment) are unknown. The frequency alone is notable and should be tracked against any disclosed restructuring or governance narrative.</w:t>
      </w:r>
    </w:p>
    <w:p>
      <w:pPr>
        <w:numPr>
          <w:ilvl w:val="0"/>
          <w:numId w:val="1001"/>
        </w:numPr>
      </w:pPr>
      <w:r>
        <w:rPr>
          <w:i/>
          <w:iCs/>
        </w:rPr>
        <w:t xml:space="preserve">Other Events (8.01):</w:t>
      </w:r>
      <w:r>
        <w:t xml:space="preserve"> </w:t>
      </w:r>
      <w:r>
        <w:t xml:space="preserve">Three filings (2026-05-04, 2025-12-12, 2025-11-03) carry no item-specific label beyond</w:t>
      </w:r>
      <w:r>
        <w:t xml:space="preserve"> </w:t>
      </w:r>
      <w:r>
        <w:t xml:space="preserve">“Other Events”</w:t>
      </w:r>
      <w:r>
        <w:t xml:space="preserve"> </w:t>
      </w:r>
      <w:r>
        <w:t xml:space="preserve">— these typically capture announcements like strategic partnerships, regulatory responses, or policy updates that don’t fall under a numbered item. The payload does not parse document contents.</w:t>
      </w:r>
    </w:p>
    <w:p>
      <w:pPr>
        <w:pStyle w:val="FirstParagraph"/>
      </w:pPr>
      <w:r>
        <w:rPr>
          <w:b/>
          <w:bCs/>
        </w:rPr>
        <w:t xml:space="preserve">SEC Risk Factors (10-K, FY2025):</w:t>
      </w:r>
      <w:r>
        <w:t xml:space="preserve"> </w:t>
      </w:r>
      <w:r>
        <w:t xml:space="preserve">The extracted snippet opens with standard risk-factor boilerplate (</w:t>
      </w:r>
      <w:r>
        <w:t xml:space="preserve">“certain factors may have a material adverse effect…”</w:t>
      </w:r>
      <w:r>
        <w:t xml:space="preserve">) before the 800-character window closes. No company-specific risk language is surfaced in the available excerpt; the filing URL (meta-20251231.htm) is available for full-text review.</w:t>
      </w:r>
    </w:p>
    <w:p>
      <w:pPr>
        <w:pStyle w:val="BodyText"/>
      </w:pPr>
      <w:r>
        <w:rPr>
          <w:b/>
          <w:bCs/>
        </w:rPr>
        <w:t xml:space="preserve">Litigation:</w:t>
      </w:r>
      <w:r>
        <w:t xml:space="preserve"> </w:t>
      </w:r>
      <w:r>
        <w:t xml:space="preserve">Stanford SCAC is temporarily unavailable (restructuring until Winter 2026). The EDGAR EFTS class-action keyword fallback returned zero hits for META — no active securities litigation disclosures in the trailing 24-month EDGAR filing history.</w:t>
      </w:r>
    </w:p>
    <w:p>
      <w:r>
        <w:pict>
          <v:rect style="width:0;height:1.5pt" o:hralign="center" o:hrstd="t" o:hr="t"/>
        </w:pict>
      </w:r>
    </w:p>
    <w:bookmarkEnd w:id="22"/>
    <w:bookmarkStart w:id="23" w:name="consumer-public-opinion"/>
    <w:p>
      <w:pPr>
        <w:pStyle w:val="Heading2"/>
      </w:pPr>
      <w:r>
        <w:t xml:space="preserve">4. Consumer &amp; Public Opinion</w:t>
      </w:r>
    </w:p>
    <w:p>
      <w:pPr>
        <w:pStyle w:val="FirstParagraph"/>
      </w:pPr>
      <w:r>
        <w:t xml:space="preserve">The Reddit sentiment signal pulled from r/investing and r/stocks yields</w:t>
      </w:r>
      <w:r>
        <w:t xml:space="preserve"> </w:t>
      </w:r>
      <w:r>
        <w:rPr>
          <w:b/>
          <w:bCs/>
        </w:rPr>
        <w:t xml:space="preserve">25 posts</w:t>
      </w:r>
      <w:r>
        <w:t xml:space="preserve">, a statistically thin but directionally meaningful sample. Aggregate sentiment is</w:t>
      </w:r>
      <w:r>
        <w:t xml:space="preserve"> </w:t>
      </w:r>
      <w:r>
        <w:rPr>
          <w:b/>
          <w:bCs/>
        </w:rPr>
        <w:t xml:space="preserve">positive</w:t>
      </w:r>
      <w:r>
        <w:t xml:space="preserve">, with a sentiment score of</w:t>
      </w:r>
      <w:r>
        <w:t xml:space="preserve"> </w:t>
      </w:r>
      <w:r>
        <w:rPr>
          <w:b/>
          <w:bCs/>
        </w:rPr>
        <w:t xml:space="preserve">0.6</w:t>
      </w:r>
      <w:r>
        <w:t xml:space="preserve"> </w:t>
      </w:r>
      <w:r>
        <w:t xml:space="preserve">on a −1.0 to +1.0 scale — the positive pole, not merely neutral.</w:t>
      </w:r>
    </w:p>
    <w:p>
      <w:pPr>
        <w:pStyle w:val="BodyText"/>
      </w:pPr>
      <w:r>
        <w:rPr>
          <w:b/>
          <w:bCs/>
        </w:rPr>
        <w:t xml:space="preserve">Top recurring themes from post titles:</w:t>
      </w:r>
      <w:r>
        <w:t xml:space="preserve"> </w:t>
      </w:r>
      <w:r>
        <w:rPr>
          <w:rStyle w:val="VerbatimChar"/>
        </w:rPr>
        <w:t xml:space="preserve">google</w:t>
      </w:r>
      <w:r>
        <w:t xml:space="preserve">,</w:t>
      </w:r>
      <w:r>
        <w:t xml:space="preserve"> </w:t>
      </w:r>
      <w:r>
        <w:rPr>
          <w:rStyle w:val="VerbatimChar"/>
        </w:rPr>
        <w:t xml:space="preserve">social</w:t>
      </w:r>
      <w:r>
        <w:t xml:space="preserve">,</w:t>
      </w:r>
      <w:r>
        <w:t xml:space="preserve"> </w:t>
      </w:r>
      <w:r>
        <w:rPr>
          <w:rStyle w:val="VerbatimChar"/>
        </w:rPr>
        <w:t xml:space="preserve">nvidia</w:t>
      </w:r>
      <w:r>
        <w:t xml:space="preserve">,</w:t>
      </w:r>
      <w:r>
        <w:t xml:space="preserve"> </w:t>
      </w:r>
      <w:r>
        <w:rPr>
          <w:rStyle w:val="VerbatimChar"/>
        </w:rPr>
        <w:t xml:space="preserve">energy</w:t>
      </w:r>
      <w:r>
        <w:t xml:space="preserve">,</w:t>
      </w:r>
      <w:r>
        <w:t xml:space="preserve"> </w:t>
      </w:r>
      <w:r>
        <w:rPr>
          <w:rStyle w:val="VerbatimChar"/>
        </w:rPr>
        <w:t xml:space="preserve">hiring</w:t>
      </w:r>
    </w:p>
    <w:p>
      <w:pPr>
        <w:pStyle w:val="BodyText"/>
      </w:pPr>
      <w:r>
        <w:t xml:space="preserve">The theme composition is analytically informative:</w:t>
      </w:r>
    </w:p>
    <w:p>
      <w:pPr>
        <w:numPr>
          <w:ilvl w:val="0"/>
          <w:numId w:val="1002"/>
        </w:numPr>
      </w:pPr>
      <w:r>
        <w:rPr>
          <w:rStyle w:val="VerbatimChar"/>
          <w:b/>
          <w:bCs/>
        </w:rPr>
        <w:t xml:space="preserve">google</w:t>
      </w:r>
      <w:r>
        <w:t xml:space="preserve"> </w:t>
      </w:r>
      <w:r>
        <w:t xml:space="preserve">appearing as the dominant co-mention reflects investor habit of framing META in the context of the Google/Alphabet advertising duopoly. Posts in r/investing routinely compare digital ad market share, AI ad-tech investment, and search-vs-social CPM dynamics between the two. This is a competitive framing, not negative sentiment.</w:t>
      </w:r>
    </w:p>
    <w:p>
      <w:pPr>
        <w:numPr>
          <w:ilvl w:val="0"/>
          <w:numId w:val="1002"/>
        </w:numPr>
      </w:pPr>
      <w:r>
        <w:rPr>
          <w:rStyle w:val="VerbatimChar"/>
          <w:b/>
          <w:bCs/>
        </w:rPr>
        <w:t xml:space="preserve">social</w:t>
      </w:r>
      <w:r>
        <w:t xml:space="preserve"> </w:t>
      </w:r>
      <w:r>
        <w:t xml:space="preserve">anchors the discussion to the core platform business — consistent with META’s revenue composition.</w:t>
      </w:r>
    </w:p>
    <w:p>
      <w:pPr>
        <w:numPr>
          <w:ilvl w:val="0"/>
          <w:numId w:val="1002"/>
        </w:numPr>
      </w:pPr>
      <w:r>
        <w:rPr>
          <w:rStyle w:val="VerbatimChar"/>
          <w:b/>
          <w:bCs/>
        </w:rPr>
        <w:t xml:space="preserve">nvidia</w:t>
      </w:r>
      <w:r>
        <w:t xml:space="preserve"> </w:t>
      </w:r>
      <w:r>
        <w:t xml:space="preserve">and</w:t>
      </w:r>
      <w:r>
        <w:t xml:space="preserve"> </w:t>
      </w:r>
      <w:r>
        <w:rPr>
          <w:rStyle w:val="VerbatimChar"/>
          <w:b/>
          <w:bCs/>
        </w:rPr>
        <w:t xml:space="preserve">energy</w:t>
      </w:r>
      <w:r>
        <w:t xml:space="preserve"> </w:t>
      </w:r>
      <w:r>
        <w:t xml:space="preserve">together signal that Reddit’s investment community is processing META through the AI infrastructure cost lens: GPU procurement dependency on NVIDIA and data center power consumption as a margin risk. These are genuine capex concerns, not platform-level criticisms. The presence of both terms in a positive-sentiment corpus suggests investors are aware of the costs but not alarmed by them at the current valuation.</w:t>
      </w:r>
    </w:p>
    <w:p>
      <w:pPr>
        <w:numPr>
          <w:ilvl w:val="0"/>
          <w:numId w:val="1002"/>
        </w:numPr>
      </w:pPr>
      <w:r>
        <w:rPr>
          <w:rStyle w:val="VerbatimChar"/>
          <w:b/>
          <w:bCs/>
        </w:rPr>
        <w:t xml:space="preserve">hiring</w:t>
      </w:r>
      <w:r>
        <w:t xml:space="preserve"> </w:t>
      </w:r>
      <w:r>
        <w:t xml:space="preserve">as a theme is ambiguous — it could reflect commentary on META’s headcount strategy (the 2023</w:t>
      </w:r>
      <w:r>
        <w:t xml:space="preserve"> </w:t>
      </w:r>
      <w:r>
        <w:t xml:space="preserve">“Year of Efficiency”</w:t>
      </w:r>
      <w:r>
        <w:t xml:space="preserve"> </w:t>
      </w:r>
      <w:r>
        <w:t xml:space="preserve">reductions and subsequent selective hiring for AI roles) or forward-looking workforce expansion signals. The payload does not resolve this.</w:t>
      </w:r>
    </w:p>
    <w:p>
      <w:pPr>
        <w:pStyle w:val="FirstParagraph"/>
      </w:pPr>
      <w:r>
        <w:rPr>
          <w:b/>
          <w:bCs/>
        </w:rPr>
        <w:t xml:space="preserve">Contextual calibration:</w:t>
      </w:r>
      <w:r>
        <w:t xml:space="preserve"> </w:t>
      </w:r>
      <w:r>
        <w:t xml:space="preserve">META is a consumer-facing social platform, not a B2B SaaS or a facilities conglomerate. For a B2C platform of this scale, Reddit investor sentiment in r/investing skews toward macro thesis discussion rather than product-level complaints. A 0.6 positive score from 25 posts in general investment subreddits is not a meaningful indicator of end-user product satisfaction — it reflects retail investor positioning and narrative momentum. The signal’s value here is confirmatory: no negative sentiment spike consistent with an advertiser boycott, platform-level controversy, or regulatory enforcement action in the most recent 12-month sample.</w:t>
      </w:r>
    </w:p>
    <w:p>
      <w:pPr>
        <w:pStyle w:val="BodyText"/>
      </w:pPr>
      <w:r>
        <w:t xml:space="preserve">The post count of 25 is at the lower boundary for statistical confidence. A broader sample from sector-specific subreddits (e.g., r/digitalmarketing, r/facebook) would sharpen the read.</w:t>
      </w:r>
    </w:p>
    <w:p>
      <w:r>
        <w:pict>
          <v:rect style="width:0;height:1.5pt" o:hralign="center" o:hrstd="t" o:hr="t"/>
        </w:pict>
      </w:r>
    </w:p>
    <w:bookmarkEnd w:id="23"/>
    <w:bookmarkStart w:id="24" w:name="key-risks-structural-barriers"/>
    <w:p>
      <w:pPr>
        <w:pStyle w:val="Heading2"/>
      </w:pPr>
      <w:r>
        <w:t xml:space="preserve">5. Key Risks &amp; Structural Barriers</w:t>
      </w:r>
    </w:p>
    <w:p>
      <w:pPr>
        <w:pStyle w:val="FirstParagraph"/>
      </w:pPr>
      <w:r>
        <w:rPr>
          <w:b/>
          <w:bCs/>
        </w:rPr>
        <w:t xml:space="preserve">1. AI capex overhang — impact: margin compression and FCF displacement</w:t>
      </w:r>
    </w:p>
    <w:p>
      <w:pPr>
        <w:pStyle w:val="BodyText"/>
      </w:pPr>
      <w:r>
        <w:t xml:space="preserve">The</w:t>
      </w:r>
      <w:r>
        <w:t xml:space="preserve"> </w:t>
      </w:r>
      <w:r>
        <w:t xml:space="preserve">“nvidia”</w:t>
      </w:r>
      <w:r>
        <w:t xml:space="preserve"> </w:t>
      </w:r>
      <w:r>
        <w:t xml:space="preserve">and</w:t>
      </w:r>
      <w:r>
        <w:t xml:space="preserve"> </w:t>
      </w:r>
      <w:r>
        <w:t xml:space="preserve">“energy”</w:t>
      </w:r>
      <w:r>
        <w:t xml:space="preserve"> </w:t>
      </w:r>
      <w:r>
        <w:t xml:space="preserve">themes in the Reddit signal are a retail-level proxy for what institutional investors are modeling more precisely: sustained heavy capital expenditure on AI infrastructure with a monetization lag. META has disclosed multi-year data center and GPU investment programs. The EBITDA margin of 50.8% is pre-capex; free cash flow conversion depends on how aggressively these investments are being depreciated vs. expensed. The payload does not surface CapEx or FCF data directly, so the precise impact cannot be quantified here — this is a data gap that limits the confidence of the valuation argument.</w:t>
      </w:r>
    </w:p>
    <w:p>
      <w:pPr>
        <w:pStyle w:val="BodyText"/>
      </w:pPr>
      <w:r>
        <w:rPr>
          <w:b/>
          <w:bCs/>
        </w:rPr>
        <w:t xml:space="preserve">2. Advertising market cyclicality — impact: revenue durability</w:t>
      </w:r>
    </w:p>
    <w:p>
      <w:pPr>
        <w:pStyle w:val="BodyText"/>
      </w:pPr>
      <w:r>
        <w:t xml:space="preserve">33.1% YoY revenue growth on a $215B base is impressive but exposes concentration risk: near-total dependence on digital advertising means any macro-driven pullback in SMB or brand advertising budgets flows directly to the top line. The FRED macro indicator (flat commercial construction) is not a direct signal here, but a broader economic slowdown would compress ad budgets across the market.</w:t>
      </w:r>
    </w:p>
    <w:p>
      <w:pPr>
        <w:pStyle w:val="BodyText"/>
      </w:pPr>
      <w:r>
        <w:rPr>
          <w:b/>
          <w:bCs/>
        </w:rPr>
        <w:t xml:space="preserve">3. Regulatory and antitrust exposure — impact: structural and operational</w:t>
      </w:r>
    </w:p>
    <w:p>
      <w:pPr>
        <w:pStyle w:val="BodyText"/>
      </w:pPr>
      <w:r>
        <w:t xml:space="preserve">The SEC risk snippet’s standard boilerplate references</w:t>
      </w:r>
      <w:r>
        <w:t xml:space="preserve"> </w:t>
      </w:r>
      <w:r>
        <w:t xml:space="preserve">“additional risks… we are currently unaware of”</w:t>
      </w:r>
      <w:r>
        <w:t xml:space="preserve"> </w:t>
      </w:r>
      <w:r>
        <w:t xml:space="preserve">— a common hedge, but in META’s case it brackets a specific regulatory environment: ongoing FTC proceedings around the Instagram and WhatsApp acquisitions, EU Digital Markets Act (DMA) gatekeeper designation, and potential forced interoperability requirements. None of these are resolved in the payload; the absence of litigation hits in the EDGAR fallback covers securities class actions only, not regulatory enforcement.</w:t>
      </w:r>
    </w:p>
    <w:p>
      <w:pPr>
        <w:pStyle w:val="BodyText"/>
      </w:pPr>
      <w:r>
        <w:rPr>
          <w:b/>
          <w:bCs/>
        </w:rPr>
        <w:t xml:space="preserve">4. Leadership turnover — impact: execution and strategy continuity</w:t>
      </w:r>
    </w:p>
    <w:p>
      <w:pPr>
        <w:pStyle w:val="BodyText"/>
      </w:pPr>
      <w:r>
        <w:t xml:space="preserve">Three Item 5.02 (Director/Officer) 8-K filings between December 2025 and April 2026 represent an elevated pace of leadership-level changes. Without document parsing, the materiality is unclear — routine board refreshes and officer departures are distinct from core product or go-to-market leadership changes. This should be monitored; concentrated governance changes during a period of heavy AI infrastructure investment and strategy execution carry transition risk.</w:t>
      </w:r>
    </w:p>
    <w:p>
      <w:pPr>
        <w:pStyle w:val="BodyText"/>
      </w:pPr>
      <w:r>
        <w:rPr>
          <w:b/>
          <w:bCs/>
        </w:rPr>
        <w:t xml:space="preserve">5. Reality Labs losses — impact: reported margins and capital allocation credibility</w:t>
      </w:r>
    </w:p>
    <w:p>
      <w:pPr>
        <w:pStyle w:val="BodyText"/>
      </w:pPr>
      <w:r>
        <w:t xml:space="preserve">Reality Labs continues to consume capital with no disclosed path to profitability in the payload. This is a known and priced drag, but the question of when (if ever) Zuckerberg pivots away from the AR/VR bet remains open. Each quarter Reality Labs runs at a loss, it competes with buybacks and dividends for capital allocation priority.</w:t>
      </w:r>
    </w:p>
    <w:p>
      <w:r>
        <w:pict>
          <v:rect style="width:0;height:1.5pt" o:hralign="center" o:hrstd="t" o:hr="t"/>
        </w:pict>
      </w:r>
    </w:p>
    <w:bookmarkEnd w:id="24"/>
    <w:bookmarkStart w:id="25" w:name="investment-recommendation"/>
    <w:p>
      <w:pPr>
        <w:pStyle w:val="Heading2"/>
      </w:pPr>
      <w:r>
        <w:t xml:space="preserve">6. Investment Recommendation</w:t>
      </w:r>
    </w:p>
    <w:p>
      <w:pPr>
        <w:pStyle w:val="FirstParagraph"/>
      </w:pPr>
      <w:r>
        <w:rPr>
          <w:b/>
          <w:bCs/>
        </w:rPr>
        <w:t xml:space="preserve">Recommendation: Buy | High Conviction</w:t>
      </w:r>
    </w:p>
    <w:p>
      <w:pPr>
        <w:pStyle w:val="BodyText"/>
      </w:pPr>
      <w:r>
        <w:t xml:space="preserve">The fundamental case is straightforward: 33.1% revenue growth with a 50.8% EBITDA margin at 17.5x forward earnings is mispriced to the downside. The PEG implied by this multiple is below 1.0 — the market is not giving META credit for the compounding effect of AI-enhanced ad yield on a business that already operates at industrial-scale margins.</w:t>
      </w:r>
    </w:p>
    <w:p>
      <w:pPr>
        <w:pStyle w:val="BodyText"/>
      </w:pPr>
      <w:r>
        <w:t xml:space="preserve">The Reddit sentiment signal (positive, 0.6 score, no negative thematic spikes) is consistent with a market narrative that is skeptical of the AI capex investment but not actively penalizing the core platform. The 8-K earnings cadence is clean. Litigation exposure via EDGAR is not elevated.</w:t>
      </w:r>
    </w:p>
    <w:p>
      <w:pPr>
        <w:pStyle w:val="BodyText"/>
      </w:pPr>
      <w:r>
        <w:t xml:space="preserve">The three variables that would change this call:</w:t>
      </w:r>
    </w:p>
    <w:p>
      <w:pPr>
        <w:numPr>
          <w:ilvl w:val="0"/>
          <w:numId w:val="1003"/>
        </w:numPr>
      </w:pPr>
      <w:r>
        <w:rPr>
          <w:b/>
          <w:bCs/>
        </w:rPr>
        <w:t xml:space="preserve">AI monetization timeline slips past 2027.</w:t>
      </w:r>
      <w:r>
        <w:t xml:space="preserve"> </w:t>
      </w:r>
      <w:r>
        <w:t xml:space="preserve">If the Advantage+ and AI-driven CPM uplift thesis takes longer to flow through the income statement than current consensus models, the capex burden becomes a margin story rather than an investment story — and the 17.5x P/E starts to look richer.</w:t>
      </w:r>
    </w:p>
    <w:p>
      <w:pPr>
        <w:numPr>
          <w:ilvl w:val="0"/>
          <w:numId w:val="1003"/>
        </w:numPr>
      </w:pPr>
      <w:r>
        <w:rPr>
          <w:b/>
          <w:bCs/>
        </w:rPr>
        <w:t xml:space="preserve">Regulatory forced divestiture.</w:t>
      </w:r>
      <w:r>
        <w:t xml:space="preserve"> </w:t>
      </w:r>
      <w:r>
        <w:t xml:space="preserve">An FTC-imposed separation of Instagram or WhatsApp would fundamentally alter the combined audience and cross-platform targeting capabilities that underpin advertiser CPM willingness-to-pay. This is a tail risk but not zero probability given the current antitrust environment.</w:t>
      </w:r>
    </w:p>
    <w:p>
      <w:pPr>
        <w:numPr>
          <w:ilvl w:val="0"/>
          <w:numId w:val="1003"/>
        </w:numPr>
      </w:pPr>
      <w:r>
        <w:rPr>
          <w:b/>
          <w:bCs/>
        </w:rPr>
        <w:t xml:space="preserve">Reality Labs CapEx acceleration without monetization signal.</w:t>
      </w:r>
      <w:r>
        <w:t xml:space="preserve"> </w:t>
      </w:r>
      <w:r>
        <w:t xml:space="preserve">If the next 8-K or earnings filing signals a material increase in Reality Labs investment without a corresponding revenue trajectory disclosure, the capital allocation case deteriorates.</w:t>
      </w:r>
    </w:p>
    <w:p>
      <w:pPr>
        <w:pStyle w:val="FirstParagraph"/>
      </w:pPr>
      <w:r>
        <w:t xml:space="preserve">At current levels, the risk/reward is asymmetric in favor of ownership. The floor is set by the core advertising business generating $109B in EBITDA annually; the upside is AI ad-tech monetization repricing the forward multiple toward software-comparable levels.</w:t>
      </w:r>
    </w:p>
    <w:bookmarkEnd w:id="25"/>
    <w:bookmarkEnd w:id="26"/>
    <w:sectPr w:rsidR="00FB1402" w:rsidRPr="00FB1402" w:rsidSect="0051269A">
      <w:pgSz w:h="15840" w:w="12240"/>
      <w:pgMar w:bottom="1080" w:footer="720" w:gutter="0" w:header="720" w:left="1260" w:right="126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1"/>
    <w:rsid w:val="003255DF"/>
    <w:rsid w:val="003E2763"/>
    <w:rsid w:val="0051269A"/>
    <w:rsid w:val="007207A6"/>
    <w:rsid w:val="00787CD3"/>
    <w:rsid w:val="00812908"/>
    <w:rsid w:val="00861EA6"/>
    <w:rsid w:val="00B45F6F"/>
    <w:rsid w:val="00BE2D5E"/>
    <w:rsid w:val="00DB2378"/>
    <w:rsid w:val="00E22ECB"/>
    <w:rsid w:val="00F252BD"/>
    <w:rsid w:val="00F80901"/>
    <w:rsid w:val="00FA3C3A"/>
    <w:rsid w:val="00FB1402"/>
  </w:rsids>
  <w:themeFontLang w:bidi="ar-SA"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bidi="ar-SA" w:eastAsia="zh-TW" w:val="en-GB"/>
        <w14:ligatures w14:val="standardContextual"/>
        <w:rFonts w:ascii="Calibri" w:cs="Calibri" w:hAnsi="Calibri"/>
        <w:sz w:val="21"/>
        <w:szCs w:val="21"/>
        <w:color w:val="1A1A1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87CD3"/>
    <w:pPr>
      <w:spacing w:after="120" w:before="0" w:line="276" w:lineRule="auto"/>
      <w:jc w:val="both"/>
    </w:pPr>
    <w:rPr>
      <w:rFonts w:ascii="Calibri" w:cs="Calibri" w:hAnsi="Calibri"/>
      <w:sz w:val="21"/>
      <w:szCs w:val="21"/>
      <w:color w:val="1A1A1A"/>
    </w:rPr>
  </w:style>
  <w:style w:styleId="Heading1" w:type="paragraph">
    <w:name w:val="heading 1"/>
    <w:basedOn w:val="Title"/>
    <w:next w:val="Normal"/>
    <w:link w:val="Heading1Char"/>
    <w:uiPriority w:val="9"/>
    <w:qFormat/>
    <w:rsid w:val="00FA3C3A"/>
    <w:pPr>
      <w:spacing w:after="120" w:before="480"/>
      <w:pBdr>
        <w:bottom w:color="0D1F3C" w:space="4" w:sz="6" w:val="single"/>
      </w:pBdr>
      <w:keepNext/>
      <w:outlineLvl w:val="0"/>
    </w:pPr>
    <w:rPr>
      <w:bCs w:val="0"/>
      <w:bCs/>
      <w:rFonts w:ascii="Garamond" w:cs="Garamond" w:hAnsi="Garamond"/>
      <w:sz w:val="32"/>
      <w:szCs w:val="32"/>
      <w:b/>
      <w:bCs/>
      <w:color w:val="0D1F3C"/>
    </w:rPr>
  </w:style>
  <w:style w:styleId="Heading2" w:type="paragraph">
    <w:name w:val="heading 2"/>
    <w:basedOn w:val="Heading1"/>
    <w:next w:val="Normal"/>
    <w:link w:val="Heading2Char"/>
    <w:uiPriority w:val="9"/>
    <w:unhideWhenUsed/>
    <w:qFormat/>
    <w:rsid w:val="00FA3C3A"/>
    <w:pPr>
      <w:spacing w:after="80" w:before="360"/>
      <w:keepNext/>
      <w:outlineLvl w:val="1"/>
    </w:pPr>
    <w:rPr>
      <w:bCs/>
      <w:iCs/>
      <w:bCs/>
      <w:rFonts w:ascii="Calibri" w:cs="Calibri" w:hAnsi="Calibri"/>
      <w:sz w:val="26"/>
      <w:szCs w:val="26"/>
      <w:b/>
      <w:bCs/>
      <w:color w:val="1E3A5F"/>
    </w:rPr>
  </w:style>
  <w:style w:styleId="Heading3" w:type="paragraph">
    <w:name w:val="heading 3"/>
    <w:basedOn w:val="Heading2"/>
    <w:next w:val="Normal"/>
    <w:link w:val="Heading3Char"/>
    <w:uiPriority w:val="9"/>
    <w:unhideWhenUsed/>
    <w:qFormat/>
    <w:rsid w:val="00FA3C3A"/>
    <w:pPr>
      <w:spacing w:after="60" w:before="240"/>
      <w:keepNext/>
      <w:outlineLvl w:val="2"/>
    </w:pPr>
    <w:rPr>
      <w:bCs w:val="0"/>
      <w:iCs w:val="0"/>
      <w:bCs/>
      <w:iCs/>
      <w:rFonts w:ascii="Calibri" w:cs="Calibri" w:hAnsi="Calibri"/>
      <w:sz w:val="22"/>
      <w:szCs w:val="22"/>
      <w:b/>
      <w:bCs/>
      <w:i/>
      <w:iCs/>
      <w:color w:val="B8922A"/>
    </w:rPr>
  </w:style>
  <w:style w:styleId="Heading4" w:type="paragraph">
    <w:name w:val="heading 4"/>
    <w:basedOn w:val="Heading3"/>
    <w:next w:val="Normal"/>
    <w:link w:val="Heading4Char"/>
    <w:uiPriority w:val="9"/>
    <w:unhideWhenUsed/>
    <w:qFormat/>
    <w:rsid w:val="00787CD3"/>
    <w:pPr>
      <w:keepLines/>
      <w:spacing w:after="60" w:before="180"/>
      <w:keepNext/>
    </w:pPr>
    <w:rPr>
      <w:iCs/>
      <w:bCs/>
      <w:rFonts w:ascii="Calibri" w:cs="Calibri" w:hAnsi="Calibri"/>
      <w:sz w:val="21"/>
      <w:szCs w:val="21"/>
      <w:b/>
      <w:bCs/>
      <w:color w:val="4A5568"/>
    </w:rPr>
  </w:style>
  <w:style w:styleId="Heading5" w:type="paragraph">
    <w:name w:val="heading 5"/>
    <w:basedOn w:val="Heading4"/>
    <w:next w:val="Normal"/>
    <w:link w:val="Heading5Char"/>
    <w:uiPriority w:val="9"/>
    <w:unhideWhenUsed/>
    <w:rsid w:val="00787CD3"/>
    <w:pPr>
      <w:spacing w:after="60" w:before="180"/>
      <w:keepNext/>
    </w:pPr>
    <w:rPr>
      <w:bCs/>
      <w:rFonts w:ascii="Calibri" w:cs="Calibri" w:hAnsi="Calibri"/>
      <w:sz w:val="21"/>
      <w:szCs w:val="21"/>
      <w:b/>
      <w:bCs/>
      <w:color w:val="4A5568"/>
    </w:rPr>
  </w:style>
  <w:style w:styleId="Heading6" w:type="paragraph">
    <w:name w:val="heading 6"/>
    <w:basedOn w:val="Heading5"/>
    <w:next w:val="Normal"/>
    <w:link w:val="Heading6Char"/>
    <w:uiPriority w:val="9"/>
    <w:unhideWhenUsed/>
    <w:rsid w:val="00787CD3"/>
    <w:pPr>
      <w:spacing w:after="60" w:before="180"/>
      <w:keepNext/>
    </w:pPr>
    <w:rPr>
      <w:iCs w:val="0"/>
      <w:bCs/>
      <w:rFonts w:ascii="Calibri" w:cs="Calibri" w:hAnsi="Calibri"/>
      <w:sz w:val="21"/>
      <w:szCs w:val="21"/>
      <w:b/>
      <w:bCs/>
      <w:color w:val="4A5568"/>
    </w:rPr>
  </w:style>
  <w:style w:styleId="Heading7" w:type="paragraph">
    <w:name w:val="heading 7"/>
    <w:basedOn w:val="Heading6"/>
    <w:next w:val="Normal"/>
    <w:link w:val="Heading7Char"/>
    <w:uiPriority w:val="9"/>
    <w:unhideWhenUsed/>
    <w:rsid w:val="00787CD3"/>
    <w:pPr>
      <w:outlineLvl w:val="6"/>
    </w:pPr>
    <w:rPr>
      <w:sz w:val="20"/>
    </w:rPr>
  </w:style>
  <w:style w:styleId="Heading8" w:type="paragraph">
    <w:name w:val="heading 8"/>
    <w:basedOn w:val="Heading7"/>
    <w:next w:val="Normal"/>
    <w:link w:val="Heading8Char"/>
    <w:uiPriority w:val="9"/>
    <w:unhideWhenUsed/>
    <w:rsid w:val="00787CD3"/>
    <w:pPr>
      <w:outlineLvl w:val="7"/>
    </w:pPr>
    <w:rPr>
      <w:iCs/>
      <w:color w:themeColor="text1" w:themeTint="D9" w:val="262626"/>
      <w:sz w:val="18"/>
    </w:rPr>
  </w:style>
  <w:style w:styleId="Heading9" w:type="paragraph">
    <w:name w:val="heading 9"/>
    <w:basedOn w:val="Heading8"/>
    <w:next w:val="Normal"/>
    <w:link w:val="Heading9Char"/>
    <w:uiPriority w:val="9"/>
    <w:unhideWhenUsed/>
    <w:rsid w:val="00787CD3"/>
    <w:pPr>
      <w:outlineLvl w:val="8"/>
    </w:pPr>
    <w:rPr>
      <w:color w:themeColor="text1" w:themeTint="D8" w:val="272727"/>
      <w:sz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Borders>
        <w:top w:color="0D1F3C" w:sz="6" w:val="single"/>
        <w:left w:color="0D1F3C" w:sz="6" w:val="single"/>
        <w:bottom w:color="0D1F3C" w:sz="6" w:val="single"/>
        <w:right w:color="0D1F3C" w:sz="6" w:val="single"/>
        <w:insideH w:color="CBD5E0" w:sz="4" w:val="single"/>
        <w:insideV w:color="CBD5E0" w:sz="4" w:val="single"/>
      </w:tblBorders>
      <w:tblCellMar>
        <w:top w:type="dxa" w:w="60"/>
        <w:left w:type="dxa" w:w="120"/>
        <w:bottom w:type="dxa" w:w="60"/>
        <w:right w:type="dxa" w:w="120"/>
      </w:tblCellMar>
    </w:tblPr>
    <w:tcPr/>
    <w:rPr>
      <w:rFonts w:ascii="Calibri" w:cs="Calibri" w:hAnsi="Calibri"/>
      <w:sz w:val="19"/>
      <w:szCs w:val="19"/>
      <w:color w:val="1A1A1A"/>
    </w:rPr>
  </w:style>
  <w:style w:default="1" w:styleId="NoList" w:type="numbering">
    <w:name w:val="No List"/>
    <w:uiPriority w:val="99"/>
    <w:semiHidden/>
    <w:unhideWhenUsed/>
  </w:style>
  <w:style w:styleId="Title" w:type="paragraph">
    <w:name w:val="Title"/>
    <w:next w:val="Subtitle"/>
    <w:link w:val="TitleChar"/>
    <w:uiPriority w:val="10"/>
    <w:qFormat/>
    <w:rsid w:val="00812908"/>
    <w:pPr>
      <w:spacing w:after="240" w:before="0"/>
      <w:pBdr>
        <w:bottom w:color="B8922A" w:space="4" w:sz="12" w:val="single"/>
      </w:pBdr>
      <w:keepNext/>
    </w:pPr>
    <w:rPr>
      <w:bCs/>
      <w:bCs/>
      <w:rFonts w:ascii="Garamond" w:cs="Garamond" w:hAnsi="Garamond"/>
      <w:sz w:val="56"/>
      <w:szCs w:val="56"/>
      <w:b/>
      <w:bCs/>
      <w:color w:val="0D1F3C"/>
      <w:kern w:val="28"/>
    </w:rPr>
  </w:style>
  <w:style w:customStyle="1" w:styleId="TitleChar" w:type="character">
    <w:name w:val="Title Char"/>
    <w:basedOn w:val="DefaultParagraphFont"/>
    <w:link w:val="Title"/>
    <w:uiPriority w:val="10"/>
    <w:rsid w:val="00812908"/>
    <w:rPr>
      <w:bCs/>
      <w:lang w:val="en-GB"/>
      <w:bCs/>
      <w:rFonts w:ascii="Garamond" w:cs="Garamond" w:hAnsi="Garamond"/>
      <w:sz w:val="56"/>
      <w:szCs w:val="56"/>
      <w:b/>
      <w:bCs/>
      <w:color w:val="0D1F3C"/>
      <w:kern w:val="28"/>
    </w:rPr>
  </w:style>
  <w:style w:styleId="Subtitle" w:type="paragraph">
    <w:name w:val="Subtitle"/>
    <w:basedOn w:val="Title"/>
    <w:next w:val="Normal"/>
    <w:link w:val="SubtitleChar"/>
    <w:uiPriority w:val="11"/>
    <w:qFormat/>
    <w:rsid w:val="00812908"/>
    <w:rPr>
      <w:iCs/>
      <w:rFonts w:ascii="Calibri" w:cs="Calibri" w:hAnsi="Calibri"/>
      <w:sz w:val="20"/>
      <w:szCs w:val="20"/>
      <w:i/>
      <w:iCs/>
      <w:color w:val="4A5568"/>
    </w:rPr>
    <w:pPr>
      <w:spacing w:after="360" w:before="0"/>
      <w:keepNext/>
    </w:pPr>
  </w:style>
  <w:style w:customStyle="1" w:styleId="SubtitleChar" w:type="character">
    <w:name w:val="Subtitle Char"/>
    <w:basedOn w:val="DefaultParagraphFont"/>
    <w:link w:val="Subtitle"/>
    <w:uiPriority w:val="11"/>
    <w:rsid w:val="00F80901"/>
    <w:rPr>
      <w:bCs/>
      <w:iCs/>
      <w:rFonts w:ascii="Calibri" w:cs="Calibri" w:hAnsi="Calibri"/>
      <w:sz w:val="20"/>
      <w:szCs w:val="20"/>
      <w:i/>
      <w:iCs/>
      <w:color w:val="4A5568"/>
    </w:rPr>
  </w:style>
  <w:style w:customStyle="1" w:styleId="Heading1Char" w:type="character">
    <w:name w:val="Heading 1 Char"/>
    <w:basedOn w:val="DefaultParagraphFont"/>
    <w:link w:val="Heading1"/>
    <w:uiPriority w:val="9"/>
    <w:rsid w:val="00FA3C3A"/>
    <w:rPr>
      <w:bCs/>
      <w:rFonts w:ascii="Garamond" w:cs="Garamond" w:hAnsi="Garamond"/>
      <w:sz w:val="32"/>
      <w:szCs w:val="32"/>
      <w:b/>
      <w:bCs/>
      <w:color w:val="0D1F3C"/>
    </w:rPr>
  </w:style>
  <w:style w:customStyle="1" w:styleId="Heading2Char" w:type="character">
    <w:name w:val="Heading 2 Char"/>
    <w:basedOn w:val="DefaultParagraphFont"/>
    <w:link w:val="Heading2"/>
    <w:uiPriority w:val="9"/>
    <w:rsid w:val="00FA3C3A"/>
    <w:rPr>
      <w:bCs/>
      <w:iCs/>
      <w:bCs/>
      <w:rFonts w:ascii="Calibri" w:cs="Calibri" w:hAnsi="Calibri"/>
      <w:sz w:val="26"/>
      <w:szCs w:val="26"/>
      <w:b/>
      <w:bCs/>
      <w:color w:val="1E3A5F"/>
    </w:rPr>
  </w:style>
  <w:style w:customStyle="1" w:styleId="Heading3Char" w:type="character">
    <w:name w:val="Heading 3 Char"/>
    <w:basedOn w:val="DefaultParagraphFont"/>
    <w:link w:val="Heading3"/>
    <w:uiPriority w:val="9"/>
    <w:rsid w:val="00FA3C3A"/>
    <w:rPr>
      <w:bCs/>
      <w:iCs/>
      <w:rFonts w:ascii="Calibri" w:cs="Calibri" w:hAnsi="Calibri"/>
      <w:sz w:val="22"/>
      <w:szCs w:val="22"/>
      <w:b/>
      <w:bCs/>
      <w:i/>
      <w:iCs/>
      <w:color w:val="B8922A"/>
    </w:rPr>
  </w:style>
  <w:style w:customStyle="1" w:styleId="Heading4Char" w:type="character">
    <w:name w:val="Heading 4 Char"/>
    <w:basedOn w:val="DefaultParagraphFont"/>
    <w:link w:val="Heading4"/>
    <w:uiPriority w:val="9"/>
    <w:rsid w:val="00787CD3"/>
    <w:rPr>
      <w:rFonts w:ascii="Sitka Text" w:cstheme="majorBidi" w:eastAsiaTheme="majorEastAsia" w:hAnsi="Sitka Text"/>
      <w:b/>
      <w:i/>
      <w:iCs/>
      <w:color w:themeColor="accent1" w:themeShade="BF" w:val="0F4761"/>
      <w:szCs w:val="28"/>
    </w:rPr>
  </w:style>
  <w:style w:customStyle="1" w:styleId="Heading5Char" w:type="character">
    <w:name w:val="Heading 5 Char"/>
    <w:basedOn w:val="DefaultParagraphFont"/>
    <w:link w:val="Heading5"/>
    <w:uiPriority w:val="9"/>
    <w:rsid w:val="00787CD3"/>
    <w:rPr>
      <w:rFonts w:ascii="Sitka Text" w:cstheme="majorBidi" w:eastAsiaTheme="majorEastAsia" w:hAnsi="Sitka Text"/>
      <w:i/>
      <w:iCs/>
      <w:color w:themeColor="accent1" w:themeShade="BF" w:val="0F4761"/>
      <w:szCs w:val="28"/>
    </w:rPr>
  </w:style>
  <w:style w:customStyle="1" w:styleId="Heading6Char" w:type="character">
    <w:name w:val="Heading 6 Char"/>
    <w:basedOn w:val="DefaultParagraphFont"/>
    <w:link w:val="Heading6"/>
    <w:uiPriority w:val="9"/>
    <w:rsid w:val="00787CD3"/>
    <w:rPr>
      <w:rFonts w:ascii="Sitka Text" w:cstheme="majorBidi" w:eastAsiaTheme="majorEastAsia" w:hAnsi="Sitka Text"/>
      <w:color w:themeColor="text1" w:themeTint="A6" w:val="595959"/>
      <w:szCs w:val="28"/>
    </w:rPr>
  </w:style>
  <w:style w:customStyle="1" w:styleId="Heading7Char" w:type="character">
    <w:name w:val="Heading 7 Char"/>
    <w:basedOn w:val="DefaultParagraphFont"/>
    <w:link w:val="Heading7"/>
    <w:uiPriority w:val="9"/>
    <w:rsid w:val="00787CD3"/>
    <w:rPr>
      <w:rFonts w:ascii="Sitka Text" w:cstheme="majorBidi" w:eastAsiaTheme="majorEastAsia" w:hAnsi="Sitka Text"/>
      <w:i/>
      <w:color w:themeColor="text1" w:themeTint="A6" w:val="595959"/>
      <w:sz w:val="20"/>
      <w:szCs w:val="28"/>
    </w:rPr>
  </w:style>
  <w:style w:customStyle="1" w:styleId="Heading8Char" w:type="character">
    <w:name w:val="Heading 8 Char"/>
    <w:basedOn w:val="DefaultParagraphFont"/>
    <w:link w:val="Heading8"/>
    <w:uiPriority w:val="9"/>
    <w:rsid w:val="00787CD3"/>
    <w:rPr>
      <w:rFonts w:ascii="Sitka Text" w:cstheme="majorBidi" w:eastAsiaTheme="majorEastAsia" w:hAnsi="Sitka Text"/>
      <w:i/>
      <w:iCs/>
      <w:color w:themeColor="text1" w:themeTint="D9" w:val="262626"/>
      <w:sz w:val="18"/>
      <w:szCs w:val="28"/>
    </w:rPr>
  </w:style>
  <w:style w:customStyle="1" w:styleId="Heading9Char" w:type="character">
    <w:name w:val="Heading 9 Char"/>
    <w:basedOn w:val="DefaultParagraphFont"/>
    <w:link w:val="Heading9"/>
    <w:uiPriority w:val="9"/>
    <w:rsid w:val="00787CD3"/>
    <w:rPr>
      <w:rFonts w:ascii="Sitka Text" w:cstheme="majorBidi" w:eastAsiaTheme="majorEastAsia" w:hAnsi="Sitka Text"/>
      <w:i/>
      <w:iCs/>
      <w:color w:themeColor="text1" w:themeTint="D8" w:val="272727"/>
      <w:sz w:val="16"/>
      <w:szCs w:val="28"/>
    </w:rPr>
  </w:style>
  <w:style w:styleId="Quote" w:type="paragraph">
    <w:name w:val="Quote"/>
    <w:basedOn w:val="Normal"/>
    <w:next w:val="Normal"/>
    <w:link w:val="QuoteChar"/>
    <w:uiPriority w:val="29"/>
    <w:qFormat/>
    <w:rsid w:val="00F80901"/>
    <w:pPr>
      <w:jc w:val="center"/>
      <w:ind w:left="720" w:right="360"/>
      <w:spacing w:after="120" w:before="120"/>
      <w:pBdr>
        <w:left w:color="B8922A" w:space="12" w:sz="24" w:val="single"/>
      </w:pBdr>
    </w:pPr>
    <w:rPr>
      <w:iCs/>
      <w:iCs/>
      <w:rFonts w:ascii="Garamond" w:cs="Garamond" w:hAnsi="Garamond"/>
      <w:sz w:val="21"/>
      <w:szCs w:val="21"/>
      <w:i/>
      <w:iCs/>
      <w:color w:val="4A5568"/>
    </w:rPr>
  </w:style>
  <w:style w:customStyle="1" w:styleId="QuoteChar" w:type="character">
    <w:name w:val="Quote Char"/>
    <w:basedOn w:val="DefaultParagraphFont"/>
    <w:link w:val="Quote"/>
    <w:uiPriority w:val="29"/>
    <w:rsid w:val="00F80901"/>
    <w:rPr>
      <w:rFonts w:ascii="Times New Roman" w:cs="Times New Roman" w:hAnsi="Times New Roman"/>
      <w:i/>
      <w:iCs/>
      <w:color w:themeColor="text1" w:themeTint="BF" w:val="404040"/>
    </w:rPr>
  </w:style>
  <w:style w:styleId="IntenseQuote" w:type="paragraph">
    <w:name w:val="Intense Quote"/>
    <w:basedOn w:val="Normal"/>
    <w:next w:val="Normal"/>
    <w:link w:val="IntenseQuoteChar"/>
    <w:uiPriority w:val="30"/>
    <w:qFormat/>
    <w:rsid w:val="00F80901"/>
    <w:pPr>
      <w:jc w:val="center"/>
      <w:ind w:left="720" w:right="360"/>
      <w:spacing w:after="120" w:before="120"/>
      <w:pBdr>
        <w:left w:color="0D1F3C" w:space="12" w:sz="36" w:val="single"/>
      </w:pBdr>
    </w:pPr>
    <w:rPr>
      <w:iCs/>
      <w:bCs/>
      <w:iCs/>
      <w:rFonts w:ascii="Garamond" w:cs="Garamond" w:hAnsi="Garamond"/>
      <w:sz w:val="21"/>
      <w:szCs w:val="21"/>
      <w:b/>
      <w:bCs/>
      <w:i/>
      <w:iCs/>
      <w:color w:val="0D1F3C"/>
    </w:rPr>
  </w:style>
  <w:style w:customStyle="1" w:styleId="IntenseQuoteChar" w:type="character">
    <w:name w:val="Intense Quote Char"/>
    <w:basedOn w:val="DefaultParagraphFont"/>
    <w:link w:val="IntenseQuote"/>
    <w:uiPriority w:val="30"/>
    <w:rsid w:val="00F80901"/>
    <w:rPr>
      <w:rFonts w:ascii="Times New Roman" w:cs="Times New Roman" w:hAnsi="Times New Roman"/>
      <w:i/>
      <w:iCs/>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Serif Notes.dotx</Template>
  <TotalTime>50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2026-05-28T16:21:59Z</dcterms:created>
  <dcterms:modified xsi:type="dcterms:W3CDTF">2026-05-28T16:21:59Z</dcterms:modified>
</cp:coreProperties>
</file>

<file path=docProps/custom.xml><?xml version="1.0" encoding="utf-8"?>
<Properties xmlns="http://schemas.openxmlformats.org/officeDocument/2006/custom-properties" xmlns:vt="http://schemas.openxmlformats.org/officeDocument/2006/docPropsVTypes"/>
</file>