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investment-memo-mu"/>
    <w:p>
      <w:pPr>
        <w:pStyle w:val="Heading1"/>
      </w:pPr>
      <w:r>
        <w:t xml:space="preserve">Investment Memo: MU</w:t>
      </w:r>
    </w:p>
    <w:p>
      <w:pPr>
        <w:pStyle w:val="FirstParagraph"/>
      </w:pPr>
      <w:r>
        <w:rPr>
          <w:b/>
          <w:bCs/>
        </w:rPr>
        <w:t xml:space="preserve">Micron Technology, Inc. | NASDAQ: MU</w:t>
      </w:r>
      <w:r>
        <w:t xml:space="preserve"> </w:t>
      </w:r>
      <w:r>
        <w:rPr>
          <w:i/>
          <w:iCs/>
        </w:rPr>
        <w:t xml:space="preserve">Theory Y Equity Research — Principal Analyst, B2B Technology &amp; Semiconductors</w:t>
      </w:r>
      <w:r>
        <w:t xml:space="preserve"> </w:t>
      </w:r>
      <w:r>
        <w:rPr>
          <w:i/>
          <w:iCs/>
        </w:rPr>
        <w:t xml:space="preserve">Generated: 2026-05-28</w:t>
      </w:r>
    </w:p>
    <w:p>
      <w:r>
        <w:pict>
          <v:rect style="width:0;height:1.5pt" o:hralign="center" o:hrstd="t" o:hr="t"/>
        </w:pict>
      </w:r>
    </w:p>
    <w:bookmarkStart w:id="20" w:name="one-line-thesis-valuation-snapshot"/>
    <w:p>
      <w:pPr>
        <w:pStyle w:val="Heading2"/>
      </w:pPr>
      <w:r>
        <w:t xml:space="preserve">1. One-Line Thesis &amp; Valuation Snapshot</w:t>
      </w:r>
    </w:p>
    <w:p>
      <w:pPr>
        <w:pStyle w:val="FirstParagraph"/>
      </w:pPr>
      <w:r>
        <w:t xml:space="preserve">Micron has executed one of the sharpest revenue recoveries in semiconductor history — 196% YoY growth to $58.1B trailing — but at 28.4x EV/EBITDA and 18x EV/Revenue, the market has priced the supercycle as permanent; the 9x forward P/E implies an enormous step-up in forward earnings that is only achievable if AI-driven memory demand re-rates MU’s structural earnings power well above its prior cycle peaks.</w:t>
      </w:r>
    </w:p>
    <w:p>
      <w:pPr>
        <w:pStyle w:val="BodyText"/>
      </w:pPr>
      <w:r>
        <w:rPr>
          <w:b/>
          <w:bCs/>
        </w:rPr>
        <w:t xml:space="preserve">Valuation Snapshot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Market Cap</w:t>
            </w:r>
          </w:p>
        </w:tc>
        <w:tc>
          <w:tcPr/>
          <w:p>
            <w:pPr>
              <w:pStyle w:val="Compact"/>
            </w:pPr>
            <w:r>
              <w:t xml:space="preserve">$1,066.7B</w:t>
            </w:r>
          </w:p>
        </w:tc>
      </w:tr>
      <w:tr>
        <w:tc>
          <w:tcPr/>
          <w:p>
            <w:pPr>
              <w:pStyle w:val="Compact"/>
            </w:pPr>
            <w:r>
              <w:t xml:space="preserve">Enterprise Value</w:t>
            </w:r>
          </w:p>
        </w:tc>
        <w:tc>
          <w:tcPr/>
          <w:p>
            <w:pPr>
              <w:pStyle w:val="Compact"/>
            </w:pPr>
            <w:r>
              <w:t xml:space="preserve">$1,043.2B</w:t>
            </w:r>
          </w:p>
        </w:tc>
      </w:tr>
      <w:tr>
        <w:tc>
          <w:tcPr/>
          <w:p>
            <w:pPr>
              <w:pStyle w:val="Compact"/>
            </w:pPr>
            <w:r>
              <w:t xml:space="preserve">Implied Net Cash</w:t>
            </w:r>
          </w:p>
        </w:tc>
        <w:tc>
          <w:tcPr/>
          <w:p>
            <w:pPr>
              <w:pStyle w:val="Compact"/>
            </w:pPr>
            <w:r>
              <w:t xml:space="preserve">~$23.5B</w:t>
            </w:r>
          </w:p>
        </w:tc>
      </w:tr>
      <w:tr>
        <w:tc>
          <w:tcPr/>
          <w:p>
            <w:pPr>
              <w:pStyle w:val="Compact"/>
            </w:pPr>
            <w:r>
              <w:t xml:space="preserve">Trailing Revenue (LTM)</w:t>
            </w:r>
          </w:p>
        </w:tc>
        <w:tc>
          <w:tcPr/>
          <w:p>
            <w:pPr>
              <w:pStyle w:val="Compact"/>
            </w:pPr>
            <w:r>
              <w:t xml:space="preserve">$58.1B</w:t>
            </w:r>
          </w:p>
        </w:tc>
      </w:tr>
      <w:tr>
        <w:tc>
          <w:tcPr/>
          <w:p>
            <w:pPr>
              <w:pStyle w:val="Compact"/>
            </w:pPr>
            <w:r>
              <w:t xml:space="preserve">YoY Revenue Growth</w:t>
            </w:r>
          </w:p>
        </w:tc>
        <w:tc>
          <w:tcPr/>
          <w:p>
            <w:pPr>
              <w:pStyle w:val="Compact"/>
            </w:pPr>
            <w:r>
              <w:t xml:space="preserve">+196.3%</w:t>
            </w:r>
          </w:p>
        </w:tc>
      </w:tr>
      <w:tr>
        <w:tc>
          <w:tcPr/>
          <w:p>
            <w:pPr>
              <w:pStyle w:val="Compact"/>
            </w:pPr>
            <w:r>
              <w:t xml:space="preserve">Trailing EBITDA</w:t>
            </w:r>
          </w:p>
        </w:tc>
        <w:tc>
          <w:tcPr/>
          <w:p>
            <w:pPr>
              <w:pStyle w:val="Compact"/>
            </w:pPr>
            <w:r>
              <w:t xml:space="preserve">$36.8B</w:t>
            </w:r>
          </w:p>
        </w:tc>
      </w:tr>
      <w:tr>
        <w:tc>
          <w:tcPr/>
          <w:p>
            <w:pPr>
              <w:pStyle w:val="Compact"/>
            </w:pPr>
            <w:r>
              <w:t xml:space="preserve">EBITDA Margin (implied)</w:t>
            </w:r>
          </w:p>
        </w:tc>
        <w:tc>
          <w:tcPr/>
          <w:p>
            <w:pPr>
              <w:pStyle w:val="Compact"/>
            </w:pPr>
            <w:r>
              <w:t xml:space="preserve">~63.3%</w:t>
            </w:r>
          </w:p>
        </w:tc>
      </w:tr>
      <w:tr>
        <w:tc>
          <w:tcPr/>
          <w:p>
            <w:pPr>
              <w:pStyle w:val="Compact"/>
            </w:pPr>
            <w:r>
              <w:t xml:space="preserve">EV / Revenue</w:t>
            </w:r>
          </w:p>
        </w:tc>
        <w:tc>
          <w:tcPr/>
          <w:p>
            <w:pPr>
              <w:pStyle w:val="Compact"/>
            </w:pPr>
            <w:r>
              <w:t xml:space="preserve">17.95x</w:t>
            </w:r>
          </w:p>
        </w:tc>
      </w:tr>
      <w:tr>
        <w:tc>
          <w:tcPr/>
          <w:p>
            <w:pPr>
              <w:pStyle w:val="Compact"/>
            </w:pPr>
            <w:r>
              <w:t xml:space="preserve">EV / EBITDA</w:t>
            </w:r>
          </w:p>
        </w:tc>
        <w:tc>
          <w:tcPr/>
          <w:p>
            <w:pPr>
              <w:pStyle w:val="Compact"/>
            </w:pPr>
            <w:r>
              <w:t xml:space="preserve">28.35x</w:t>
            </w:r>
          </w:p>
        </w:tc>
      </w:tr>
      <w:tr>
        <w:tc>
          <w:tcPr/>
          <w:p>
            <w:pPr>
              <w:pStyle w:val="Compact"/>
            </w:pPr>
            <w:r>
              <w:t xml:space="preserve">Forward P/E</w:t>
            </w:r>
          </w:p>
        </w:tc>
        <w:tc>
          <w:tcPr/>
          <w:p>
            <w:pPr>
              <w:pStyle w:val="Compact"/>
            </w:pPr>
            <w:r>
              <w:t xml:space="preserve">9.01x</w:t>
            </w:r>
          </w:p>
        </w:tc>
      </w:tr>
    </w:tbl>
    <w:p>
      <w:pPr>
        <w:pStyle w:val="BodyText"/>
      </w:pPr>
      <w:r>
        <w:t xml:space="preserve">The multiple structure reveals a market-embedded paradox: EV/EBITDA at 28x is well above what memory names have historically warranted through the cycle (typically 6–12x EV/EBITDA at normalized trough), yet the 9x forward P/E simultaneously implies that consensus forward net income is roughly 3–5x current trailing net income. The market is not paying 28x EBITDA for today’s earnings — it is paying for an earnings power expansion that has yet to materialize, anchored on the thesis that high-bandwidth memory (HBM) and AI infrastructure build-out permanently re-rates Micron’s earnings ceiling.</w:t>
      </w:r>
    </w:p>
    <w:p>
      <w:pPr>
        <w:pStyle w:val="BodyText"/>
      </w:pPr>
      <w:r>
        <w:t xml:space="preserve">The 63.3% EBITDA margin embedded in the trailing numbers is the clearest signal of how far along the upcycle MU is. At ~$36.8B trailing EBITDA on $58.1B revenue, Micron is operating at or near peak-cycle unit economics. Operating leverage in semiconductor manufacturing is a function of fab utilization and average selling price (ASP): when both are elevated simultaneously, incremental revenue flows to EBITDA at margins approaching 80–90%. The current margin profile suggests that utilization and ASP are both at elevated levels.</w:t>
      </w:r>
    </w:p>
    <w:p>
      <w:pPr>
        <w:pStyle w:val="BodyText"/>
      </w:pPr>
      <w:r>
        <w:t xml:space="preserve">The ~$23.5B implied net cash position ($1.07T market cap less $1.04T EV) is a meaningful buffer, providing capital deployment optionality (buybacks, capacity expansion, M&amp;A) and downside cushion if the cycle moderates. The payload does not disclose the exact cash/debt split, so this figure is derived; treat it as directional.</w:t>
      </w:r>
    </w:p>
    <w:p>
      <w:r>
        <w:pict>
          <v:rect style="width:0;height:1.5pt" o:hralign="center" o:hrstd="t" o:hr="t"/>
        </w:pict>
      </w:r>
    </w:p>
    <w:bookmarkEnd w:id="20"/>
    <w:bookmarkStart w:id="21" w:name="business-overview-operations"/>
    <w:p>
      <w:pPr>
        <w:pStyle w:val="Heading2"/>
      </w:pPr>
      <w:r>
        <w:t xml:space="preserve">2. Business Overview &amp; Operations</w:t>
      </w:r>
    </w:p>
    <w:p>
      <w:pPr>
        <w:pStyle w:val="FirstParagraph"/>
      </w:pPr>
      <w:r>
        <w:t xml:space="preserve">Micron Technology is one of three global-scale DRAM manufacturers and a major NAND producer, competing in a structurally oligopolistic memory market where capacity discipline among a handful of players — Micron, Samsung, and SK Hynix — drives the amplitude of pricing cycles.</w:t>
      </w:r>
    </w:p>
    <w:p>
      <w:pPr>
        <w:pStyle w:val="BodyText"/>
      </w:pPr>
      <w:r>
        <w:rPr>
          <w:b/>
          <w:bCs/>
        </w:rPr>
        <w:t xml:space="preserve">Revenue Base and Growth</w:t>
      </w:r>
    </w:p>
    <w:p>
      <w:pPr>
        <w:pStyle w:val="BodyText"/>
      </w:pPr>
      <w:r>
        <w:t xml:space="preserve">The 196.3% YoY revenue growth to $58.1B LTM is not organic market expansion at scale — it is a full cycle recovery from trough conditions. Memory markets are governed by the intersection of supply additions (primarily new fab capacity and wafer starts) and demand expansion (data center, mobile, PC, automotive). A near-tripling of revenue YoY is consistent with a transition from severe ASP compression at cycle trough to a demand-driven pricing recovery, amplified by AI infrastructure spending driving outsized DRAM (particularly HBM) demand. The payload does not break out DRAM vs. NAND revenue mix, nor does it disclose HBM as a percentage of total; this is a key data gap for sizing the AI-specific upside.</w:t>
      </w:r>
    </w:p>
    <w:p>
      <w:pPr>
        <w:pStyle w:val="BodyText"/>
      </w:pPr>
      <w:r>
        <w:rPr>
          <w:b/>
          <w:bCs/>
        </w:rPr>
        <w:t xml:space="preserve">Operating Mechanics and Cost Structure</w:t>
      </w:r>
    </w:p>
    <w:p>
      <w:pPr>
        <w:pStyle w:val="BodyText"/>
      </w:pPr>
      <w:r>
        <w:t xml:space="preserve">Memory manufacturing is among the most capital-intensive industrial processes globally. Wafer fabrication requires continuous investment in lithography and process technology. The SEC risk factor snippet references</w:t>
      </w:r>
      <w:r>
        <w:t xml:space="preserve"> </w:t>
      </w:r>
      <w:r>
        <w:t xml:space="preserve">“complex and evolving federal, state, local, and foreign environmental, health, safety and product laws”</w:t>
      </w:r>
      <w:r>
        <w:t xml:space="preserve"> </w:t>
      </w:r>
      <w:r>
        <w:t xml:space="preserve">applied specifically to wafer fabrication — a direct signal that the regulatory overhead embedded in Micron’s manufacturing operations is not trivial. Environmental compliance, discharge management, chemicals handling, and energy use are explicitly called out as cost components the company manages proactively.</w:t>
      </w:r>
    </w:p>
    <w:p>
      <w:pPr>
        <w:pStyle w:val="BodyText"/>
      </w:pPr>
      <w:r>
        <w:t xml:space="preserve">At the 63.3% EBITDA margin level, depreciation and amortization on Micron’s fab base will be substantial. Semiconductor EBITDA margins typically run 15–25 percentage points above EBIT margins due to D&amp;A intensity. This means EBIT margins are likely materially lower than EBITDA margins, and net income margins lower still — which is why trailing earnings likely support a much higher trailing P/E than the 9x forward P/E implies. The forward multiple is only intelligible if forward earnings are dramatically higher than trailing, driven either by ASP expansion, volume growth, or a step-change mix shift toward higher-margin HBM.</w:t>
      </w:r>
    </w:p>
    <w:p>
      <w:pPr>
        <w:pStyle w:val="BodyText"/>
      </w:pPr>
      <w:r>
        <w:rPr>
          <w:b/>
          <w:bCs/>
        </w:rPr>
        <w:t xml:space="preserve">Operating Leverage Mechanics</w:t>
      </w:r>
    </w:p>
    <w:p>
      <w:pPr>
        <w:pStyle w:val="BodyText"/>
      </w:pPr>
      <w:r>
        <w:t xml:space="preserve">The operating leverage profile in memory manufacturing is stark: once fabs are built and depreciation is baked in, each incremental unit of revenue at elevated ASP flows through to EBITDA at very high incremental margins. The move from trough revenue (~$19–20B implied from 196% growth) to $58B LTM demonstrates exactly this dynamic. The critical question for forward operating leverage is whether demand growth continues to absorb supply at current ASPs, or whether capacity additions (Micron’s own and competitors’) begin to pressure pricing before demand catches up. The payload does not disclose capex guidance or capacity expansion plans.</w:t>
      </w:r>
    </w:p>
    <w:p>
      <w:pPr>
        <w:pStyle w:val="BodyText"/>
      </w:pPr>
      <w:r>
        <w:rPr>
          <w:b/>
          <w:bCs/>
        </w:rPr>
        <w:t xml:space="preserve">Net Cash and Balance Sheet</w:t>
      </w:r>
    </w:p>
    <w:p>
      <w:pPr>
        <w:pStyle w:val="BodyText"/>
      </w:pPr>
      <w:r>
        <w:t xml:space="preserve">The ~$23.5B implied net cash is consistent with Micron having accumulated capital during the current upcycle. A strong balance sheet in a capital-intensive, cyclical industry is not merely a buffer — it is a competitive moat that allows Micron to maintain fab investment through downturns when levered competitors cut capex, setting up share gain in the subsequent upcycle. The company filed an amendment to its articles/certificate (5.03) in January 2026 alongside a shareholder vote (5.07), suggesting a governance or capital structure change that could have implications for shareholder return policy, though the payload does not specify the content.</w:t>
      </w:r>
    </w:p>
    <w:p>
      <w:r>
        <w:pict>
          <v:rect style="width:0;height:1.5pt" o:hralign="center" o:hrstd="t" o:hr="t"/>
        </w:pict>
      </w:r>
    </w:p>
    <w:bookmarkEnd w:id="21"/>
    <w:bookmarkStart w:id="22" w:name="alternative-data-macro-signals"/>
    <w:p>
      <w:pPr>
        <w:pStyle w:val="Heading2"/>
      </w:pPr>
      <w:r>
        <w:t xml:space="preserve">3. Alternative Data &amp; Macro Signals</w:t>
      </w:r>
    </w:p>
    <w:p>
      <w:pPr>
        <w:pStyle w:val="FirstParagraph"/>
      </w:pPr>
      <w:r>
        <w:rPr>
          <w:b/>
          <w:bCs/>
        </w:rPr>
        <w:t xml:space="preserve">Google Trends: Peak Crowding at Cycle High</w:t>
      </w:r>
    </w:p>
    <w:p>
      <w:pPr>
        <w:pStyle w:val="BodyText"/>
      </w:pPr>
      <w:r>
        <w:t xml:space="preserve">The Google Trends signal for</w:t>
      </w:r>
      <w:r>
        <w:t xml:space="preserve"> </w:t>
      </w:r>
      <w:r>
        <w:t xml:space="preserve">“MU”</w:t>
      </w:r>
      <w:r>
        <w:t xml:space="preserve"> </w:t>
      </w:r>
      <w:r>
        <w:t xml:space="preserve">shows velocity of +148.95% with latest interest at the maximum score of 100, recovering from a trough of 35. This is the alt-data equivalent of a sentiment thermometer pinned at maximum heat. Elevated retail and institutional search interest correlates with MU at or near the consensus trade: the momentum is well-known, the narrative is consensus, and the positioning is crowded.</w:t>
      </w:r>
    </w:p>
    <w:p>
      <w:pPr>
        <w:pStyle w:val="BodyText"/>
      </w:pPr>
      <w:r>
        <w:t xml:space="preserve">Historically, Google Trends peaking at 100 for a cyclical industrial/semiconductor name is more often a late-cycle sentiment indicator than an early-stage signal. The move from trough interest of 35 to peak interest of 100 is consistent with a narrative transition: the stock has gone from unloved trough to high-attention momentum, and the crowd has arrived. This does not mechanically mean the stock is at a top, but it does mean the incremental buyer is at maximum attention — the marginal upside from further narrative adoption is limited. For a name that has already tripled revenue in one year, the question is whether the current interest spike precedes a fundamental re-rating (sustainable AI demand) or a sentiment peak (cyclical peak + retail exhaustion).</w:t>
      </w:r>
    </w:p>
    <w:p>
      <w:pPr>
        <w:pStyle w:val="BodyText"/>
      </w:pPr>
      <w:r>
        <w:t xml:space="preserve">The velocity figure (+148.95%) is particularly notable: this is not just high absolute interest, it is rapidly accelerating interest. This is consistent with a period of major earnings beats or bullish guidance, likely corresponding to the Q2 FY2026 earnings event (8-K filed 2026-03-18).</w:t>
      </w:r>
    </w:p>
    <w:p>
      <w:pPr>
        <w:pStyle w:val="BodyText"/>
      </w:pPr>
      <w:r>
        <w:rPr>
          <w:b/>
          <w:bCs/>
        </w:rPr>
        <w:t xml:space="preserve">SEC 8-K Event Cadence: Earnings Beats and Post-Quarter Disclosures</w:t>
      </w:r>
    </w:p>
    <w:p>
      <w:pPr>
        <w:pStyle w:val="BodyText"/>
      </w:pPr>
      <w:r>
        <w:t xml:space="preserve">Micron filed three 8-Ks in the March–April 2026 window:</w:t>
      </w:r>
      <w:r>
        <w:t xml:space="preserve"> </w:t>
      </w:r>
      <w:r>
        <w:t xml:space="preserve">1.</w:t>
      </w:r>
      <w:r>
        <w:t xml:space="preserve"> </w:t>
      </w:r>
      <w:r>
        <w:rPr>
          <w:b/>
          <w:bCs/>
        </w:rPr>
        <w:t xml:space="preserve">2026-03-18 (Item 2.02)</w:t>
      </w:r>
      <w:r>
        <w:t xml:space="preserve">: Quarterly results of operations — this is the primary earnings release for fiscal Q2 2026.</w:t>
      </w:r>
      <w:r>
        <w:t xml:space="preserve"> </w:t>
      </w:r>
      <w:r>
        <w:t xml:space="preserve">2.</w:t>
      </w:r>
      <w:r>
        <w:t xml:space="preserve"> </w:t>
      </w:r>
      <w:r>
        <w:rPr>
          <w:b/>
          <w:bCs/>
        </w:rPr>
        <w:t xml:space="preserve">2026-03-25 (Items 8.01, 9.01)</w:t>
      </w:r>
      <w:r>
        <w:t xml:space="preserve">:</w:t>
      </w:r>
      <w:r>
        <w:t xml:space="preserve"> </w:t>
      </w:r>
      <w:r>
        <w:t xml:space="preserve">“Other Events”</w:t>
      </w:r>
      <w:r>
        <w:t xml:space="preserve"> </w:t>
      </w:r>
      <w:r>
        <w:t xml:space="preserve">disclosure one week post-earnings.</w:t>
      </w:r>
      <w:r>
        <w:t xml:space="preserve"> </w:t>
      </w:r>
      <w:r>
        <w:t xml:space="preserve">3.</w:t>
      </w:r>
      <w:r>
        <w:t xml:space="preserve"> </w:t>
      </w:r>
      <w:r>
        <w:rPr>
          <w:b/>
          <w:bCs/>
        </w:rPr>
        <w:t xml:space="preserve">2026-04-01 (Items 8.01, 9.01)</w:t>
      </w:r>
      <w:r>
        <w:t xml:space="preserve">: A second</w:t>
      </w:r>
      <w:r>
        <w:t xml:space="preserve"> </w:t>
      </w:r>
      <w:r>
        <w:t xml:space="preserve">“Other Events”</w:t>
      </w:r>
      <w:r>
        <w:t xml:space="preserve"> </w:t>
      </w:r>
      <w:r>
        <w:t xml:space="preserve">disclosure two weeks post-earnings.</w:t>
      </w:r>
    </w:p>
    <w:p>
      <w:pPr>
        <w:pStyle w:val="BodyText"/>
      </w:pPr>
      <w:r>
        <w:t xml:space="preserve">The clustering of two</w:t>
      </w:r>
      <w:r>
        <w:t xml:space="preserve"> </w:t>
      </w:r>
      <w:r>
        <w:t xml:space="preserve">“Other Events”</w:t>
      </w:r>
      <w:r>
        <w:t xml:space="preserve"> </w:t>
      </w:r>
      <w:r>
        <w:t xml:space="preserve">8-Ks in the two weeks immediately following a major earnings release warrants analytical attention. These filings could represent: (a) supplemental guidance or investor day disclosures, (b) capital allocation announcements (buybacks, dividends), (c) partnership or customer announcements, or (d) regulatory or export-related disclosures. The payload does not provide the content of these filings. The read-through matters: if they were buyback authorization or AI partnership announcements, they are positive forward-looking catalysts. If they were export restriction updates (a material risk for semiconductor companies with China exposure), they could represent a risk factor the market has partially priced.</w:t>
      </w:r>
    </w:p>
    <w:p>
      <w:pPr>
        <w:pStyle w:val="BodyText"/>
      </w:pPr>
      <w:r>
        <w:t xml:space="preserve">The</w:t>
      </w:r>
      <w:r>
        <w:t xml:space="preserve"> </w:t>
      </w:r>
      <w:r>
        <w:rPr>
          <w:b/>
          <w:bCs/>
        </w:rPr>
        <w:t xml:space="preserve">October 2025 5.02 filing</w:t>
      </w:r>
      <w:r>
        <w:t xml:space="preserve"> </w:t>
      </w:r>
      <w:r>
        <w:t xml:space="preserve">(Directors/Officers departure/appointment) indicates a leadership change at either the C-suite or board level. The payload does not specify who changed roles. Depending on the magnitude, this could range from routine board rotation to a material operational risk (e.g., loss of a key technology executive during a critical HBM ramp).</w:t>
      </w:r>
    </w:p>
    <w:p>
      <w:pPr>
        <w:pStyle w:val="BodyText"/>
      </w:pPr>
      <w:r>
        <w:rPr>
          <w:b/>
          <w:bCs/>
        </w:rPr>
        <w:t xml:space="preserve">FRED Macro: Commercial Construction Spending — Limited Direct Read-Through</w:t>
      </w:r>
    </w:p>
    <w:p>
      <w:pPr>
        <w:pStyle w:val="BodyText"/>
      </w:pPr>
      <w:r>
        <w:t xml:space="preserve">The FRED series TLNRESCONS (Commercial Construction Spending) posted $1,243.8B as of March 2026, up only +0.21% YoY — essentially flat. This macro indicator has limited direct read-through to DRAM/NAND demand: commercial construction primarily drives HVAC, electrical, and structural materials, not semiconductor memory. The relevant read-through is indirect: flat commercial construction implies a tepid broader capex environment that is not generating broad-based infrastructure demand tailwinds. For Micron, the demand driver is data center construction (which is a subset of commercial construction), not general commercial construction spend.</w:t>
      </w:r>
    </w:p>
    <w:p>
      <w:pPr>
        <w:pStyle w:val="BodyText"/>
      </w:pPr>
      <w:r>
        <w:t xml:space="preserve">The flat commercial construction number is not a negative signal for data center demand — data centers are typically classified under commercial construction but represent a small fraction of the total. The more relevant inference is that the broader economy is not in a broad-based industrial expansion that would simultaneously drive mobile, PC, and automotive memory demand alongside AI server demand. The bull case for MU thus remains concentrated in AI/HBM rather than diversified end-market recovery, which raises the risk profile if AI capex spend decelerates.</w:t>
      </w:r>
    </w:p>
    <w:p>
      <w:pPr>
        <w:pStyle w:val="BodyText"/>
      </w:pPr>
      <w:r>
        <w:rPr>
          <w:b/>
          <w:bCs/>
        </w:rPr>
        <w:t xml:space="preserve">Environmental Compliance: Cost Escalation Risk</w:t>
      </w:r>
    </w:p>
    <w:p>
      <w:pPr>
        <w:pStyle w:val="BodyText"/>
      </w:pPr>
      <w:r>
        <w:t xml:space="preserve">The SEC 10-K risk factor snippet focuses exclusively on environmental compliance — wafer fabrication chemicals, emissions, energy use, water discharge, and climate change regulations. This is Micron’s primary regulatory risk factor surfaced by the payload. Environmental regulations on semiconductor manufacturing have been tightening globally (EU REACH, US EPA, Asia-Pacific standards), and compliance costs are capitalized into the manufacturing cost base. At $58B revenue with high margins, compliance cost creep is manageable — but at cycle trough with compressed ASPs, compliance cost as a percentage of revenue can meaningfully impair margins.</w:t>
      </w:r>
    </w:p>
    <w:p>
      <w:pPr>
        <w:pStyle w:val="BodyText"/>
      </w:pPr>
      <w:r>
        <w:rPr>
          <w:b/>
          <w:bCs/>
        </w:rPr>
        <w:t xml:space="preserve">Job Market Data: Unavailable</w:t>
      </w:r>
    </w:p>
    <w:p>
      <w:pPr>
        <w:pStyle w:val="BodyText"/>
      </w:pPr>
      <w:r>
        <w:t xml:space="preserve">The Apify job scraper returned no live data. The absence of headcount signals (job postings, hiring velocity, layoff indicators) is a data gap. For a capital-intensive manufacturer, job posting velocity is less predictive than for software companies, but directional hiring in R&amp;D (HBM process nodes, advanced packaging) would be a positive forward signal. This gap cannot be filled from the payload.</w:t>
      </w:r>
    </w:p>
    <w:p>
      <w:r>
        <w:pict>
          <v:rect style="width:0;height:1.5pt" o:hralign="center" o:hrstd="t" o:hr="t"/>
        </w:pict>
      </w:r>
    </w:p>
    <w:bookmarkEnd w:id="22"/>
    <w:bookmarkStart w:id="23" w:name="key-risks-structural-barriers"/>
    <w:p>
      <w:pPr>
        <w:pStyle w:val="Heading2"/>
      </w:pPr>
      <w:r>
        <w:t xml:space="preserve">4. Key Risks &amp; Structural Barriers</w:t>
      </w:r>
    </w:p>
    <w:p>
      <w:pPr>
        <w:pStyle w:val="FirstParagraph"/>
      </w:pPr>
      <w:r>
        <w:rPr>
          <w:b/>
          <w:bCs/>
        </w:rPr>
        <w:t xml:space="preserve">1. Cycle Peak Exposure — Highest Impact Risk</w:t>
      </w:r>
    </w:p>
    <w:p>
      <w:pPr>
        <w:pStyle w:val="BodyText"/>
      </w:pPr>
      <w:r>
        <w:t xml:space="preserve">196% YoY revenue growth at 63% EBITDA margins is by definition a peak-cycle condition. Memory markets are governed by supply/demand balance dynamics that revert: when supply additions catch up to demand or demand growth decelerates, ASPs compress sharply, and EBITDA margins can collapse from 60%+ to near-zero or negative within two to three quarters. The 9x forward P/E implies the market believes earnings will step up from current levels — but if the earnings expansion does not materialize and instead a cyclical reversal occurs, the EV/EBITDA multiple would be evaluated against a compressed EBITDA base, implying significant multiple contraction risk simultaneously with earnings contraction. The EV/EBITDA of 28.35x has no margin of safety against a cycle turn.</w:t>
      </w:r>
    </w:p>
    <w:p>
      <w:pPr>
        <w:pStyle w:val="BodyText"/>
      </w:pPr>
      <w:r>
        <w:rPr>
          <w:b/>
          <w:bCs/>
        </w:rPr>
        <w:t xml:space="preserve">2. Multiple Compression Risk on AI Narrative Deceleration</w:t>
      </w:r>
    </w:p>
    <w:p>
      <w:pPr>
        <w:pStyle w:val="BodyText"/>
      </w:pPr>
      <w:r>
        <w:t xml:space="preserve">The current valuation is partially justified by a re-rating narrative: MU is no longer a commodity DRAM producer, it is an AI infrastructure beneficiary via HBM. If AI data center capex decelerates — driven by hyperscaler spending adjustments, model efficiency improvements reducing memory per compute unit, or geopolitical disruptions to chip supply chains — the re-rating premium embedded in 18x EV/Revenue would compress toward historical commodity memory multiples. The payload does not provide HBM revenue as a share of total, making it impossible to quantify the AI exposure numerically.</w:t>
      </w:r>
    </w:p>
    <w:p>
      <w:pPr>
        <w:pStyle w:val="BodyText"/>
      </w:pPr>
      <w:r>
        <w:rPr>
          <w:b/>
          <w:bCs/>
        </w:rPr>
        <w:t xml:space="preserve">3. Post-Earnings Disclosure Overhang</w:t>
      </w:r>
    </w:p>
    <w:p>
      <w:pPr>
        <w:pStyle w:val="BodyText"/>
      </w:pPr>
      <w:r>
        <w:t xml:space="preserve">The two</w:t>
      </w:r>
      <w:r>
        <w:t xml:space="preserve"> </w:t>
      </w:r>
      <w:r>
        <w:t xml:space="preserve">“Other Events”</w:t>
      </w:r>
      <w:r>
        <w:t xml:space="preserve"> </w:t>
      </w:r>
      <w:r>
        <w:t xml:space="preserve">8-Ks filed immediately post-Q2 FY2026 earnings (March 25 and April 1, 2026) introduce an ambiguity: the payload does not disclose their content. If either filing relates to export restrictions, China revenue risk, or regulatory action, it could represent a material unpriced risk. This is not an assertion that the filings are negative — it is a flag that the payload leaves this open, and due diligence requires reviewing these filings directly.</w:t>
      </w:r>
    </w:p>
    <w:p>
      <w:pPr>
        <w:pStyle w:val="BodyText"/>
      </w:pPr>
      <w:r>
        <w:rPr>
          <w:b/>
          <w:bCs/>
        </w:rPr>
        <w:t xml:space="preserve">4. Environmental and Regulatory Cost Escalation</w:t>
      </w:r>
    </w:p>
    <w:p>
      <w:pPr>
        <w:pStyle w:val="BodyText"/>
      </w:pPr>
      <w:r>
        <w:t xml:space="preserve">The primary risk factor surfaced in the 10-K is environmental compliance for wafer fabrication. Regulatory tightening on semiconductor manufacturing chemicals, water usage (fabs consume enormous volumes of ultra-pure water), and energy is accelerating globally. Capital compliance spend reduces free cash flow available for technology investment, and process-level regulatory constraints can delay fab ramps. At cycle trough, compliance cost absorption is particularly painful.</w:t>
      </w:r>
    </w:p>
    <w:p>
      <w:pPr>
        <w:pStyle w:val="BodyText"/>
      </w:pPr>
      <w:r>
        <w:rPr>
          <w:b/>
          <w:bCs/>
        </w:rPr>
        <w:t xml:space="preserve">5. Leadership Transition — Execution Risk</w:t>
      </w:r>
    </w:p>
    <w:p>
      <w:pPr>
        <w:pStyle w:val="BodyText"/>
      </w:pPr>
      <w:r>
        <w:t xml:space="preserve">The October 2025 5.02 filing (Directors/Officers departure/appointment) indicates a leadership change. Semiconductor companies in the middle of technology transitions (advanced packaging for HBM, next-generation process nodes) are particularly sensitive to key executive retention. The payload does not identify the individual(s) involved. If the change affected the CTO, COO, or a key HBM program lead, the execution risk to the technology roadmap is elevated.</w:t>
      </w:r>
    </w:p>
    <w:p>
      <w:pPr>
        <w:pStyle w:val="BodyText"/>
      </w:pPr>
      <w:r>
        <w:rPr>
          <w:b/>
          <w:bCs/>
        </w:rPr>
        <w:t xml:space="preserve">6. Crowded Positioning — Sentiment Reversal Risk</w:t>
      </w:r>
    </w:p>
    <w:p>
      <w:pPr>
        <w:pStyle w:val="BodyText"/>
      </w:pPr>
      <w:r>
        <w:t xml:space="preserve">Google Trends at maximum (100) for a cyclical name is a sentiment crowding indicator. At peak positioning, the incremental catalyst required to sustain momentum must exceed an already-high base. Any earnings miss, guidance cut, or macro deterioration against a crowded consensus long is amplified by the unwind of accumulated positioning.</w:t>
      </w:r>
    </w:p>
    <w:p>
      <w:r>
        <w:pict>
          <v:rect style="width:0;height:1.5pt" o:hralign="center" o:hrstd="t" o:hr="t"/>
        </w:pict>
      </w:r>
    </w:p>
    <w:bookmarkEnd w:id="23"/>
    <w:bookmarkStart w:id="24" w:name="investment-recommendation"/>
    <w:p>
      <w:pPr>
        <w:pStyle w:val="Heading2"/>
      </w:pPr>
      <w:r>
        <w:t xml:space="preserve">5. Investment Recommendation</w:t>
      </w:r>
    </w:p>
    <w:p>
      <w:pPr>
        <w:pStyle w:val="FirstParagraph"/>
      </w:pPr>
      <w:r>
        <w:rPr>
          <w:b/>
          <w:bCs/>
        </w:rPr>
        <w:t xml:space="preserve">Rating: Hold / Selective Entry on Pullback | Conviction: Medium</w:t>
      </w:r>
    </w:p>
    <w:p>
      <w:pPr>
        <w:pStyle w:val="BodyText"/>
      </w:pPr>
      <w:r>
        <w:t xml:space="preserve">MU presents a clean bull/bear asymmetry that the current valuation compresses into a narrow margin for error. The bull case is structurally credible: AI infrastructure spending has driven memory demand into a different structural regime, HBM demand is supply-constrained, and Micron’s net cash of ~$23.5B funds both continued R&amp;D investment and shareholder returns through any near-term cyclical softness. The 9x forward P/E, if the forward earnings base is real, would represent exceptional value for a company with this revenue scale and balance sheet.</w:t>
      </w:r>
    </w:p>
    <w:p>
      <w:pPr>
        <w:pStyle w:val="BodyText"/>
      </w:pPr>
      <w:r>
        <w:t xml:space="preserve">The bear case is symmetrically dangerous: 28x EV/EBITDA for a business whose primary risk is commodity cycle reversal has no historical precedent of working through a full cycle. If EBITDA normalizes toward historical trough levels ($8–12B range), the EV/EBITDA re-rates dramatically. The Google Trends signal at maximum (100) with +149% velocity confirms the consensus is crowded. The unresolved ambiguity in the post-Q2</w:t>
      </w:r>
      <w:r>
        <w:t xml:space="preserve"> </w:t>
      </w:r>
      <w:r>
        <w:t xml:space="preserve">“Other Events”</w:t>
      </w:r>
      <w:r>
        <w:t xml:space="preserve"> </w:t>
      </w:r>
      <w:r>
        <w:t xml:space="preserve">8-K filings adds an event-risk overlay.</w:t>
      </w:r>
    </w:p>
    <w:p>
      <w:pPr>
        <w:pStyle w:val="BodyText"/>
      </w:pPr>
      <w:r>
        <w:rPr>
          <w:b/>
          <w:bCs/>
        </w:rPr>
        <w:t xml:space="preserve">Key variables that would change the call:</w:t>
      </w:r>
    </w:p>
    <w:p>
      <w:pPr>
        <w:pStyle w:val="Compact"/>
        <w:numPr>
          <w:ilvl w:val="0"/>
          <w:numId w:val="1001"/>
        </w:numPr>
      </w:pPr>
      <w:r>
        <w:rPr>
          <w:b/>
          <w:bCs/>
        </w:rPr>
        <w:t xml:space="preserve">Upgrade to Buy</w:t>
      </w:r>
      <w:r>
        <w:t xml:space="preserve"> </w:t>
      </w:r>
      <w:r>
        <w:t xml:space="preserve">if: (a) the March/April 2026 8-K disclosures confirm positive catalysts (buyback authorization, major customer HBM agreements); (b) HBM revenue as a share of total is disclosed at ≥25%, anchoring a premium earnings floor; or (c) forward guidance explicitly raises the earnings trajectory beyond the consensus implied by 9x forward P/E.</w:t>
      </w:r>
    </w:p>
    <w:p>
      <w:pPr>
        <w:pStyle w:val="Compact"/>
        <w:numPr>
          <w:ilvl w:val="0"/>
          <w:numId w:val="1001"/>
        </w:numPr>
      </w:pPr>
      <w:r>
        <w:rPr>
          <w:b/>
          <w:bCs/>
        </w:rPr>
        <w:t xml:space="preserve">Downgrade to Sell</w:t>
      </w:r>
      <w:r>
        <w:t xml:space="preserve"> </w:t>
      </w:r>
      <w:r>
        <w:t xml:space="preserve">if: (a) either</w:t>
      </w:r>
      <w:r>
        <w:t xml:space="preserve"> </w:t>
      </w:r>
      <w:r>
        <w:t xml:space="preserve">“Other Events”</w:t>
      </w:r>
      <w:r>
        <w:t xml:space="preserve"> </w:t>
      </w:r>
      <w:r>
        <w:t xml:space="preserve">8-K relates to export restrictions or China revenue loss; (b) next quarterly 2.02 filing (due ~June 2026) shows EBITDA margin compression below 55%, signaling cycle peak; or (c) the October 2025 executive departure is confirmed as a key technology or commercial leader.</w:t>
      </w:r>
    </w:p>
    <w:p>
      <w:pPr>
        <w:pStyle w:val="FirstParagraph"/>
      </w:pPr>
      <w:r>
        <w:t xml:space="preserve">At current prices, the risk/reward is balanced for existing holders but does not offer sufficient margin of safety for new entry. The next quarterly earnings release and the content of the outstanding 8-K filings are the near-term resolution events that define the directional catalyst.</w:t>
      </w:r>
    </w:p>
    <w:bookmarkEnd w:id="24"/>
    <w:bookmarkEnd w:id="25"/>
    <w:sectPr w:rsidR="00FB1402" w:rsidRPr="00FB1402" w:rsidSect="0051269A">
      <w:pgSz w:h="15840" w:w="12240"/>
      <w:pgMar w:bottom="1080" w:footer="720" w:gutter="0" w:header="720" w:left="1260" w:right="1260" w:top="108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PMingLiU">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tka Text">
    <w:panose1 w:val="00000000000000000000"/>
    <w:charset w:val="00"/>
    <w:family w:val="auto"/>
    <w:pitch w:val="variable"/>
    <w:sig w:usb0="A00002EF" w:usb1="4000204B" w:usb2="00000000" w:usb3="00000000" w:csb0="0000019F" w:csb1="00000000"/>
  </w:font>
  <w:font w:name="Perpetua">
    <w:panose1 w:val="02020502060401020303"/>
    <w:charset w:val="00"/>
    <w:family w:val="roman"/>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0"/>
  <w:embedSystemFonts/>
  <w:proofState w:grammar="clean" w:spelling="clean"/>
  <w:stylePaneFormatFilter w:allStyles="1" w:alternateStyleNames="0" w:clearFormatting="1" w:customStyles="0" w:directFormattingOnNumbering="0" w:directFormattingOnParagraphs="0" w:directFormattingOnRuns="0" w:directFormattingOnTables="0" w:headingStyles="1" w:latentStyles="0" w:numberingStyles="0" w:stylesInUse="0" w:tableStyles="0" w:top3HeadingStyles="0" w:val="1021" w:visibleStyles="0"/>
  <w:stylePaneSortMethod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0901"/>
    <w:rsid w:val="003255DF"/>
    <w:rsid w:val="003E2763"/>
    <w:rsid w:val="0051269A"/>
    <w:rsid w:val="007207A6"/>
    <w:rsid w:val="00787CD3"/>
    <w:rsid w:val="00812908"/>
    <w:rsid w:val="00861EA6"/>
    <w:rsid w:val="00B45F6F"/>
    <w:rsid w:val="00BE2D5E"/>
    <w:rsid w:val="00DB2378"/>
    <w:rsid w:val="00E22ECB"/>
    <w:rsid w:val="00F252BD"/>
    <w:rsid w:val="00F80901"/>
    <w:rsid w:val="00FA3C3A"/>
    <w:rsid w:val="00FB1402"/>
  </w:rsids>
  <w:themeFontLang w:bidi="ar-SA" w:eastAsia="zh-TW"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lang w:bidi="ar-SA" w:eastAsia="zh-TW" w:val="en-GB"/>
        <w14:ligatures w14:val="standardContextual"/>
        <w:rFonts w:ascii="Calibri" w:cs="Calibri" w:hAnsi="Calibri"/>
        <w:sz w:val="21"/>
        <w:szCs w:val="21"/>
        <w:color w:val="1A1A1A"/>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787CD3"/>
    <w:pPr>
      <w:spacing w:after="120" w:before="0" w:line="276" w:lineRule="auto"/>
      <w:jc w:val="both"/>
    </w:pPr>
    <w:rPr>
      <w:rFonts w:ascii="Calibri" w:cs="Calibri" w:hAnsi="Calibri"/>
      <w:sz w:val="21"/>
      <w:szCs w:val="21"/>
      <w:color w:val="1A1A1A"/>
    </w:rPr>
  </w:style>
  <w:style w:styleId="Heading1" w:type="paragraph">
    <w:name w:val="heading 1"/>
    <w:basedOn w:val="Title"/>
    <w:next w:val="Normal"/>
    <w:link w:val="Heading1Char"/>
    <w:uiPriority w:val="9"/>
    <w:qFormat/>
    <w:rsid w:val="00FA3C3A"/>
    <w:pPr>
      <w:spacing w:after="120" w:before="480"/>
      <w:pBdr>
        <w:bottom w:color="0D1F3C" w:space="4" w:sz="6" w:val="single"/>
      </w:pBdr>
      <w:keepNext/>
      <w:outlineLvl w:val="0"/>
    </w:pPr>
    <w:rPr>
      <w:bCs w:val="0"/>
      <w:rFonts w:ascii="Garamond" w:cs="Garamond" w:hAnsi="Garamond"/>
      <w:sz w:val="32"/>
      <w:szCs w:val="32"/>
      <w:b/>
      <w:bCs/>
      <w:color w:val="0D1F3C"/>
    </w:rPr>
  </w:style>
  <w:style w:styleId="Heading2" w:type="paragraph">
    <w:name w:val="heading 2"/>
    <w:basedOn w:val="Heading1"/>
    <w:next w:val="Normal"/>
    <w:link w:val="Heading2Char"/>
    <w:uiPriority w:val="9"/>
    <w:unhideWhenUsed/>
    <w:qFormat/>
    <w:rsid w:val="00FA3C3A"/>
    <w:pPr>
      <w:spacing w:after="80" w:before="360"/>
      <w:keepNext/>
      <w:outlineLvl w:val="1"/>
    </w:pPr>
    <w:rPr>
      <w:bCs/>
      <w:iCs/>
      <w:rFonts w:ascii="Calibri" w:cs="Calibri" w:hAnsi="Calibri"/>
      <w:sz w:val="26"/>
      <w:szCs w:val="26"/>
      <w:b/>
      <w:bCs/>
      <w:color w:val="1E3A5F"/>
    </w:rPr>
  </w:style>
  <w:style w:styleId="Heading3" w:type="paragraph">
    <w:name w:val="heading 3"/>
    <w:basedOn w:val="Heading2"/>
    <w:next w:val="Normal"/>
    <w:link w:val="Heading3Char"/>
    <w:uiPriority w:val="9"/>
    <w:unhideWhenUsed/>
    <w:qFormat/>
    <w:rsid w:val="00FA3C3A"/>
    <w:pPr>
      <w:spacing w:after="60" w:before="240"/>
      <w:keepNext/>
      <w:outlineLvl w:val="2"/>
    </w:pPr>
    <w:rPr>
      <w:bCs w:val="0"/>
      <w:iCs w:val="0"/>
      <w:rFonts w:ascii="Calibri" w:cs="Calibri" w:hAnsi="Calibri"/>
      <w:sz w:val="22"/>
      <w:szCs w:val="22"/>
      <w:b/>
      <w:bCs/>
      <w:i/>
      <w:iCs/>
      <w:color w:val="B8922A"/>
    </w:rPr>
  </w:style>
  <w:style w:styleId="Heading4" w:type="paragraph">
    <w:name w:val="heading 4"/>
    <w:basedOn w:val="Heading3"/>
    <w:next w:val="Normal"/>
    <w:link w:val="Heading4Char"/>
    <w:uiPriority w:val="9"/>
    <w:unhideWhenUsed/>
    <w:qFormat/>
    <w:rsid w:val="00787CD3"/>
    <w:pPr>
      <w:keepLines/>
      <w:spacing w:after="60" w:before="180"/>
      <w:keepNext/>
    </w:pPr>
    <w:rPr>
      <w:iCs/>
      <w:rFonts w:ascii="Calibri" w:cs="Calibri" w:hAnsi="Calibri"/>
      <w:sz w:val="21"/>
      <w:szCs w:val="21"/>
      <w:b/>
      <w:bCs/>
      <w:color w:val="4A5568"/>
    </w:rPr>
  </w:style>
  <w:style w:styleId="Heading5" w:type="paragraph">
    <w:name w:val="heading 5"/>
    <w:basedOn w:val="Heading4"/>
    <w:next w:val="Normal"/>
    <w:link w:val="Heading5Char"/>
    <w:uiPriority w:val="9"/>
    <w:unhideWhenUsed/>
    <w:rsid w:val="00787CD3"/>
    <w:pPr>
      <w:spacing w:after="60" w:before="180"/>
      <w:keepNext/>
    </w:pPr>
    <w:rPr>
      <w:rFonts w:ascii="Calibri" w:cs="Calibri" w:hAnsi="Calibri"/>
      <w:sz w:val="21"/>
      <w:szCs w:val="21"/>
      <w:b/>
      <w:bCs/>
      <w:color w:val="4A5568"/>
    </w:rPr>
  </w:style>
  <w:style w:styleId="Heading6" w:type="paragraph">
    <w:name w:val="heading 6"/>
    <w:basedOn w:val="Heading5"/>
    <w:next w:val="Normal"/>
    <w:link w:val="Heading6Char"/>
    <w:uiPriority w:val="9"/>
    <w:unhideWhenUsed/>
    <w:rsid w:val="00787CD3"/>
    <w:pPr>
      <w:spacing w:after="60" w:before="180"/>
      <w:keepNext/>
    </w:pPr>
    <w:rPr>
      <w:iCs w:val="0"/>
      <w:rFonts w:ascii="Calibri" w:cs="Calibri" w:hAnsi="Calibri"/>
      <w:sz w:val="21"/>
      <w:szCs w:val="21"/>
      <w:b/>
      <w:bCs/>
      <w:color w:val="4A5568"/>
    </w:rPr>
  </w:style>
  <w:style w:styleId="Heading7" w:type="paragraph">
    <w:name w:val="heading 7"/>
    <w:basedOn w:val="Heading6"/>
    <w:next w:val="Normal"/>
    <w:link w:val="Heading7Char"/>
    <w:uiPriority w:val="9"/>
    <w:unhideWhenUsed/>
    <w:rsid w:val="00787CD3"/>
    <w:pPr>
      <w:outlineLvl w:val="6"/>
    </w:pPr>
    <w:rPr>
      <w:sz w:val="20"/>
    </w:rPr>
  </w:style>
  <w:style w:styleId="Heading8" w:type="paragraph">
    <w:name w:val="heading 8"/>
    <w:basedOn w:val="Heading7"/>
    <w:next w:val="Normal"/>
    <w:link w:val="Heading8Char"/>
    <w:uiPriority w:val="9"/>
    <w:unhideWhenUsed/>
    <w:rsid w:val="00787CD3"/>
    <w:pPr>
      <w:outlineLvl w:val="7"/>
    </w:pPr>
    <w:rPr>
      <w:iCs/>
      <w:color w:themeColor="text1" w:themeTint="D9" w:val="262626"/>
      <w:sz w:val="18"/>
    </w:rPr>
  </w:style>
  <w:style w:styleId="Heading9" w:type="paragraph">
    <w:name w:val="heading 9"/>
    <w:basedOn w:val="Heading8"/>
    <w:next w:val="Normal"/>
    <w:link w:val="Heading9Char"/>
    <w:uiPriority w:val="9"/>
    <w:unhideWhenUsed/>
    <w:rsid w:val="00787CD3"/>
    <w:pPr>
      <w:outlineLvl w:val="8"/>
    </w:pPr>
    <w:rPr>
      <w:color w:themeColor="text1" w:themeTint="D8" w:val="272727"/>
      <w:sz w:val="16"/>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Borders>
        <w:top w:color="0D1F3C" w:sz="6" w:val="single"/>
        <w:left w:color="0D1F3C" w:sz="6" w:val="single"/>
        <w:bottom w:color="0D1F3C" w:sz="6" w:val="single"/>
        <w:right w:color="0D1F3C" w:sz="6" w:val="single"/>
        <w:insideH w:color="CBD5E0" w:sz="4" w:val="single"/>
        <w:insideV w:color="CBD5E0" w:sz="4" w:val="single"/>
      </w:tblBorders>
      <w:tblCellMar>
        <w:top w:type="dxa" w:w="60"/>
        <w:left w:type="dxa" w:w="120"/>
        <w:bottom w:type="dxa" w:w="60"/>
        <w:right w:type="dxa" w:w="120"/>
      </w:tblCellMar>
    </w:tblPr>
    <w:tcPr/>
    <w:rPr>
      <w:rFonts w:ascii="Calibri" w:cs="Calibri" w:hAnsi="Calibri"/>
      <w:sz w:val="19"/>
      <w:szCs w:val="19"/>
      <w:color w:val="1A1A1A"/>
    </w:rPr>
  </w:style>
  <w:style w:default="1" w:styleId="NoList" w:type="numbering">
    <w:name w:val="No List"/>
    <w:uiPriority w:val="99"/>
    <w:semiHidden/>
    <w:unhideWhenUsed/>
  </w:style>
  <w:style w:styleId="Title" w:type="paragraph">
    <w:name w:val="Title"/>
    <w:next w:val="Subtitle"/>
    <w:link w:val="TitleChar"/>
    <w:uiPriority w:val="10"/>
    <w:qFormat/>
    <w:rsid w:val="00812908"/>
    <w:pPr>
      <w:spacing w:after="240" w:before="0"/>
      <w:pBdr>
        <w:bottom w:color="B8922A" w:space="4" w:sz="12" w:val="single"/>
      </w:pBdr>
      <w:keepNext/>
    </w:pPr>
    <w:rPr>
      <w:bCs/>
      <w:rFonts w:ascii="Garamond" w:cs="Garamond" w:hAnsi="Garamond"/>
      <w:sz w:val="56"/>
      <w:szCs w:val="56"/>
      <w:b/>
      <w:bCs/>
      <w:color w:val="0D1F3C"/>
      <w:kern w:val="28"/>
    </w:rPr>
  </w:style>
  <w:style w:customStyle="1" w:styleId="TitleChar" w:type="character">
    <w:name w:val="Title Char"/>
    <w:basedOn w:val="DefaultParagraphFont"/>
    <w:link w:val="Title"/>
    <w:uiPriority w:val="10"/>
    <w:rsid w:val="00812908"/>
    <w:rPr>
      <w:bCs/>
      <w:lang w:val="en-GB"/>
      <w:rFonts w:ascii="Garamond" w:cs="Garamond" w:hAnsi="Garamond"/>
      <w:sz w:val="56"/>
      <w:szCs w:val="56"/>
      <w:b/>
      <w:bCs/>
      <w:color w:val="0D1F3C"/>
      <w:kern w:val="28"/>
    </w:rPr>
  </w:style>
  <w:style w:styleId="Subtitle" w:type="paragraph">
    <w:name w:val="Subtitle"/>
    <w:basedOn w:val="Title"/>
    <w:next w:val="Normal"/>
    <w:link w:val="SubtitleChar"/>
    <w:uiPriority w:val="11"/>
    <w:qFormat/>
    <w:rsid w:val="00812908"/>
    <w:rPr>
      <w:rFonts w:ascii="Calibri" w:cs="Calibri" w:hAnsi="Calibri"/>
      <w:sz w:val="20"/>
      <w:szCs w:val="20"/>
      <w:i/>
      <w:iCs/>
      <w:color w:val="4A5568"/>
    </w:rPr>
    <w:pPr>
      <w:spacing w:after="360" w:before="0"/>
      <w:keepNext/>
    </w:pPr>
  </w:style>
  <w:style w:customStyle="1" w:styleId="SubtitleChar" w:type="character">
    <w:name w:val="Subtitle Char"/>
    <w:basedOn w:val="DefaultParagraphFont"/>
    <w:link w:val="Subtitle"/>
    <w:uiPriority w:val="11"/>
    <w:rsid w:val="00F80901"/>
    <w:rPr>
      <w:bCs/>
      <w:rFonts w:ascii="Calibri" w:cs="Calibri" w:hAnsi="Calibri"/>
      <w:sz w:val="20"/>
      <w:szCs w:val="20"/>
      <w:i/>
      <w:iCs/>
      <w:color w:val="4A5568"/>
    </w:rPr>
  </w:style>
  <w:style w:customStyle="1" w:styleId="Heading1Char" w:type="character">
    <w:name w:val="Heading 1 Char"/>
    <w:basedOn w:val="DefaultParagraphFont"/>
    <w:link w:val="Heading1"/>
    <w:uiPriority w:val="9"/>
    <w:rsid w:val="00FA3C3A"/>
    <w:rPr>
      <w:rFonts w:ascii="Garamond" w:cs="Garamond" w:hAnsi="Garamond"/>
      <w:sz w:val="32"/>
      <w:szCs w:val="32"/>
      <w:b/>
      <w:bCs/>
      <w:color w:val="0D1F3C"/>
    </w:rPr>
  </w:style>
  <w:style w:customStyle="1" w:styleId="Heading2Char" w:type="character">
    <w:name w:val="Heading 2 Char"/>
    <w:basedOn w:val="DefaultParagraphFont"/>
    <w:link w:val="Heading2"/>
    <w:uiPriority w:val="9"/>
    <w:rsid w:val="00FA3C3A"/>
    <w:rPr>
      <w:bCs/>
      <w:iCs/>
      <w:rFonts w:ascii="Calibri" w:cs="Calibri" w:hAnsi="Calibri"/>
      <w:sz w:val="26"/>
      <w:szCs w:val="26"/>
      <w:b/>
      <w:bCs/>
      <w:color w:val="1E3A5F"/>
    </w:rPr>
  </w:style>
  <w:style w:customStyle="1" w:styleId="Heading3Char" w:type="character">
    <w:name w:val="Heading 3 Char"/>
    <w:basedOn w:val="DefaultParagraphFont"/>
    <w:link w:val="Heading3"/>
    <w:uiPriority w:val="9"/>
    <w:rsid w:val="00FA3C3A"/>
    <w:rPr>
      <w:rFonts w:ascii="Calibri" w:cs="Calibri" w:hAnsi="Calibri"/>
      <w:sz w:val="22"/>
      <w:szCs w:val="22"/>
      <w:b/>
      <w:bCs/>
      <w:i/>
      <w:iCs/>
      <w:color w:val="B8922A"/>
    </w:rPr>
  </w:style>
  <w:style w:customStyle="1" w:styleId="Heading4Char" w:type="character">
    <w:name w:val="Heading 4 Char"/>
    <w:basedOn w:val="DefaultParagraphFont"/>
    <w:link w:val="Heading4"/>
    <w:uiPriority w:val="9"/>
    <w:rsid w:val="00787CD3"/>
    <w:rPr>
      <w:rFonts w:ascii="Sitka Text" w:cstheme="majorBidi" w:eastAsiaTheme="majorEastAsia" w:hAnsi="Sitka Text"/>
      <w:b/>
      <w:i/>
      <w:iCs/>
      <w:color w:themeColor="accent1" w:themeShade="BF" w:val="0F4761"/>
      <w:szCs w:val="28"/>
    </w:rPr>
  </w:style>
  <w:style w:customStyle="1" w:styleId="Heading5Char" w:type="character">
    <w:name w:val="Heading 5 Char"/>
    <w:basedOn w:val="DefaultParagraphFont"/>
    <w:link w:val="Heading5"/>
    <w:uiPriority w:val="9"/>
    <w:rsid w:val="00787CD3"/>
    <w:rPr>
      <w:rFonts w:ascii="Sitka Text" w:cstheme="majorBidi" w:eastAsiaTheme="majorEastAsia" w:hAnsi="Sitka Text"/>
      <w:i/>
      <w:iCs/>
      <w:color w:themeColor="accent1" w:themeShade="BF" w:val="0F4761"/>
      <w:szCs w:val="28"/>
    </w:rPr>
  </w:style>
  <w:style w:customStyle="1" w:styleId="Heading6Char" w:type="character">
    <w:name w:val="Heading 6 Char"/>
    <w:basedOn w:val="DefaultParagraphFont"/>
    <w:link w:val="Heading6"/>
    <w:uiPriority w:val="9"/>
    <w:rsid w:val="00787CD3"/>
    <w:rPr>
      <w:rFonts w:ascii="Sitka Text" w:cstheme="majorBidi" w:eastAsiaTheme="majorEastAsia" w:hAnsi="Sitka Text"/>
      <w:color w:themeColor="text1" w:themeTint="A6" w:val="595959"/>
      <w:szCs w:val="28"/>
    </w:rPr>
  </w:style>
  <w:style w:customStyle="1" w:styleId="Heading7Char" w:type="character">
    <w:name w:val="Heading 7 Char"/>
    <w:basedOn w:val="DefaultParagraphFont"/>
    <w:link w:val="Heading7"/>
    <w:uiPriority w:val="9"/>
    <w:rsid w:val="00787CD3"/>
    <w:rPr>
      <w:rFonts w:ascii="Sitka Text" w:cstheme="majorBidi" w:eastAsiaTheme="majorEastAsia" w:hAnsi="Sitka Text"/>
      <w:i/>
      <w:color w:themeColor="text1" w:themeTint="A6" w:val="595959"/>
      <w:sz w:val="20"/>
      <w:szCs w:val="28"/>
    </w:rPr>
  </w:style>
  <w:style w:customStyle="1" w:styleId="Heading8Char" w:type="character">
    <w:name w:val="Heading 8 Char"/>
    <w:basedOn w:val="DefaultParagraphFont"/>
    <w:link w:val="Heading8"/>
    <w:uiPriority w:val="9"/>
    <w:rsid w:val="00787CD3"/>
    <w:rPr>
      <w:rFonts w:ascii="Sitka Text" w:cstheme="majorBidi" w:eastAsiaTheme="majorEastAsia" w:hAnsi="Sitka Text"/>
      <w:i/>
      <w:iCs/>
      <w:color w:themeColor="text1" w:themeTint="D9" w:val="262626"/>
      <w:sz w:val="18"/>
      <w:szCs w:val="28"/>
    </w:rPr>
  </w:style>
  <w:style w:customStyle="1" w:styleId="Heading9Char" w:type="character">
    <w:name w:val="Heading 9 Char"/>
    <w:basedOn w:val="DefaultParagraphFont"/>
    <w:link w:val="Heading9"/>
    <w:uiPriority w:val="9"/>
    <w:rsid w:val="00787CD3"/>
    <w:rPr>
      <w:rFonts w:ascii="Sitka Text" w:cstheme="majorBidi" w:eastAsiaTheme="majorEastAsia" w:hAnsi="Sitka Text"/>
      <w:i/>
      <w:iCs/>
      <w:color w:themeColor="text1" w:themeTint="D8" w:val="272727"/>
      <w:sz w:val="16"/>
      <w:szCs w:val="28"/>
    </w:rPr>
  </w:style>
  <w:style w:styleId="Quote" w:type="paragraph">
    <w:name w:val="Quote"/>
    <w:basedOn w:val="Normal"/>
    <w:next w:val="Normal"/>
    <w:link w:val="QuoteChar"/>
    <w:uiPriority w:val="29"/>
    <w:qFormat/>
    <w:rsid w:val="00F80901"/>
    <w:pPr>
      <w:jc w:val="center"/>
      <w:ind w:left="720" w:right="360"/>
      <w:spacing w:after="120" w:before="120"/>
      <w:pBdr>
        <w:left w:color="B8922A" w:space="12" w:sz="24" w:val="single"/>
      </w:pBdr>
    </w:pPr>
    <w:rPr>
      <w:iCs/>
      <w:rFonts w:ascii="Garamond" w:cs="Garamond" w:hAnsi="Garamond"/>
      <w:sz w:val="21"/>
      <w:szCs w:val="21"/>
      <w:i/>
      <w:iCs/>
      <w:color w:val="4A5568"/>
    </w:rPr>
  </w:style>
  <w:style w:customStyle="1" w:styleId="QuoteChar" w:type="character">
    <w:name w:val="Quote Char"/>
    <w:basedOn w:val="DefaultParagraphFont"/>
    <w:link w:val="Quote"/>
    <w:uiPriority w:val="29"/>
    <w:rsid w:val="00F80901"/>
    <w:rPr>
      <w:rFonts w:ascii="Times New Roman" w:cs="Times New Roman" w:hAnsi="Times New Roman"/>
      <w:i/>
      <w:iCs/>
      <w:color w:themeColor="text1" w:themeTint="BF" w:val="404040"/>
    </w:rPr>
  </w:style>
  <w:style w:styleId="IntenseQuote" w:type="paragraph">
    <w:name w:val="Intense Quote"/>
    <w:basedOn w:val="Normal"/>
    <w:next w:val="Normal"/>
    <w:link w:val="IntenseQuoteChar"/>
    <w:uiPriority w:val="30"/>
    <w:qFormat/>
    <w:rsid w:val="00F80901"/>
    <w:pPr>
      <w:jc w:val="center"/>
      <w:ind w:left="720" w:right="360"/>
      <w:spacing w:after="120" w:before="120"/>
      <w:pBdr>
        <w:left w:color="0D1F3C" w:space="12" w:sz="36" w:val="single"/>
      </w:pBdr>
    </w:pPr>
    <w:rPr>
      <w:iCs/>
      <w:rFonts w:ascii="Garamond" w:cs="Garamond" w:hAnsi="Garamond"/>
      <w:sz w:val="21"/>
      <w:szCs w:val="21"/>
      <w:b/>
      <w:bCs/>
      <w:i/>
      <w:iCs/>
      <w:color w:val="0D1F3C"/>
    </w:rPr>
  </w:style>
  <w:style w:customStyle="1" w:styleId="IntenseQuoteChar" w:type="character">
    <w:name w:val="Intense Quote Char"/>
    <w:basedOn w:val="DefaultParagraphFont"/>
    <w:link w:val="IntenseQuote"/>
    <w:uiPriority w:val="30"/>
    <w:rsid w:val="00F80901"/>
    <w:rPr>
      <w:rFonts w:ascii="Times New Roman" w:cs="Times New Roman" w:hAnsi="Times New Roman"/>
      <w:i/>
      <w:iCs/>
      <w:color w:themeColor="accent1" w:themeShade="BF" w:val="0F476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Serif Notes.dotx</Template>
  <TotalTime>50</TotalTime>
  <Pages>2</Pages>
  <Words>472</Words>
  <Characters>2691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2026-05-28T15:34:29Z</dcterms:created>
  <dcterms:modified xsi:type="dcterms:W3CDTF">2026-05-28T15:34:29Z</dcterms:modified>
</cp:coreProperties>
</file>

<file path=docProps/custom.xml><?xml version="1.0" encoding="utf-8"?>
<Properties xmlns="http://schemas.openxmlformats.org/officeDocument/2006/custom-properties" xmlns:vt="http://schemas.openxmlformats.org/officeDocument/2006/docPropsVTypes"/>
</file>