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6" w:name="investment-memo-asts"/>
    <w:p>
      <w:pPr>
        <w:pStyle w:val="Heading1"/>
      </w:pPr>
      <w:r>
        <w:t xml:space="preserve">Investment Memo: ASTS</w:t>
      </w:r>
    </w:p>
    <w:bookmarkStart w:id="20" w:name="one-line-thesis-valuation-snapshot"/>
    <w:p>
      <w:pPr>
        <w:pStyle w:val="Heading2"/>
      </w:pPr>
      <w:r>
        <w:t xml:space="preserve">1. One-Line Thesis &amp; Valuation Snapshot</w:t>
      </w:r>
    </w:p>
    <w:p>
      <w:pPr>
        <w:pStyle w:val="FirstParagraph"/>
      </w:pPr>
      <w:r>
        <w:t xml:space="preserve">AST SpaceMobile is priced at 462x trailing revenue on $85M of initial commercial sales — the market is paying today for a total addressable market capture scenario that the trailing financials cannot yet underwrite.</w:t>
      </w:r>
    </w:p>
    <w:p>
      <w:pPr>
        <w:pStyle w:val="BodyText"/>
      </w:pPr>
      <w:r>
        <w:rPr>
          <w:b/>
          <w:bCs/>
        </w:rPr>
        <w:t xml:space="preserve">Valuation Snapshot (trailing twelve months)</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Metric</w:t>
            </w:r>
          </w:p>
        </w:tc>
        <w:tc>
          <w:tcPr/>
          <w:p>
            <w:pPr>
              <w:pStyle w:val="Compact"/>
            </w:pPr>
            <w:r>
              <w:t xml:space="preserve">Value</w:t>
            </w:r>
          </w:p>
        </w:tc>
      </w:tr>
      <w:tr>
        <w:tc>
          <w:tcPr/>
          <w:p>
            <w:pPr>
              <w:pStyle w:val="Compact"/>
            </w:pPr>
            <w:r>
              <w:t xml:space="preserve">Market Capitalization</w:t>
            </w:r>
          </w:p>
        </w:tc>
        <w:tc>
          <w:tcPr/>
          <w:p>
            <w:pPr>
              <w:pStyle w:val="Compact"/>
            </w:pPr>
            <w:r>
              <w:t xml:space="preserve">$50.7B</w:t>
            </w:r>
          </w:p>
        </w:tc>
      </w:tr>
      <w:tr>
        <w:tc>
          <w:tcPr/>
          <w:p>
            <w:pPr>
              <w:pStyle w:val="Compact"/>
            </w:pPr>
            <w:r>
              <w:t xml:space="preserve">Enterprise Value</w:t>
            </w:r>
          </w:p>
        </w:tc>
        <w:tc>
          <w:tcPr/>
          <w:p>
            <w:pPr>
              <w:pStyle w:val="Compact"/>
            </w:pPr>
            <w:r>
              <w:t xml:space="preserve">$39.3B</w:t>
            </w:r>
          </w:p>
        </w:tc>
      </w:tr>
      <w:tr>
        <w:tc>
          <w:tcPr/>
          <w:p>
            <w:pPr>
              <w:pStyle w:val="Compact"/>
            </w:pPr>
            <w:r>
              <w:t xml:space="preserve">Implied Net Cash</w:t>
            </w:r>
          </w:p>
        </w:tc>
        <w:tc>
          <w:tcPr/>
          <w:p>
            <w:pPr>
              <w:pStyle w:val="Compact"/>
            </w:pPr>
            <w:r>
              <w:t xml:space="preserve">~$11.5B</w:t>
            </w:r>
          </w:p>
        </w:tc>
      </w:tr>
      <w:tr>
        <w:tc>
          <w:tcPr/>
          <w:p>
            <w:pPr>
              <w:pStyle w:val="Compact"/>
            </w:pPr>
            <w:r>
              <w:t xml:space="preserve">Trailing Revenue</w:t>
            </w:r>
          </w:p>
        </w:tc>
        <w:tc>
          <w:tcPr/>
          <w:p>
            <w:pPr>
              <w:pStyle w:val="Compact"/>
            </w:pPr>
            <w:r>
              <w:t xml:space="preserve">$84.94M</w:t>
            </w:r>
          </w:p>
        </w:tc>
      </w:tr>
      <w:tr>
        <w:tc>
          <w:tcPr/>
          <w:p>
            <w:pPr>
              <w:pStyle w:val="Compact"/>
            </w:pPr>
            <w:r>
              <w:t xml:space="preserve">Trailing EBITDA</w:t>
            </w:r>
          </w:p>
        </w:tc>
        <w:tc>
          <w:tcPr/>
          <w:p>
            <w:pPr>
              <w:pStyle w:val="Compact"/>
            </w:pPr>
            <w:r>
              <w:t xml:space="preserve">-$316.39M</w:t>
            </w:r>
          </w:p>
        </w:tc>
      </w:tr>
      <w:tr>
        <w:tc>
          <w:tcPr/>
          <w:p>
            <w:pPr>
              <w:pStyle w:val="Compact"/>
            </w:pPr>
            <w:r>
              <w:t xml:space="preserve">EBITDA Margin</w:t>
            </w:r>
          </w:p>
        </w:tc>
        <w:tc>
          <w:tcPr/>
          <w:p>
            <w:pPr>
              <w:pStyle w:val="Compact"/>
            </w:pPr>
            <w:r>
              <w:t xml:space="preserve">N/M (-373%)</w:t>
            </w:r>
          </w:p>
        </w:tc>
      </w:tr>
      <w:tr>
        <w:tc>
          <w:tcPr/>
          <w:p>
            <w:pPr>
              <w:pStyle w:val="Compact"/>
            </w:pPr>
            <w:r>
              <w:t xml:space="preserve">YoY Revenue Growth</w:t>
            </w:r>
          </w:p>
        </w:tc>
        <w:tc>
          <w:tcPr/>
          <w:p>
            <w:pPr>
              <w:pStyle w:val="Compact"/>
            </w:pPr>
            <w:r>
              <w:t xml:space="preserve">+1,952%</w:t>
            </w:r>
          </w:p>
        </w:tc>
      </w:tr>
      <w:tr>
        <w:tc>
          <w:tcPr/>
          <w:p>
            <w:pPr>
              <w:pStyle w:val="Compact"/>
            </w:pPr>
            <w:r>
              <w:t xml:space="preserve">EV / Revenue</w:t>
            </w:r>
          </w:p>
        </w:tc>
        <w:tc>
          <w:tcPr/>
          <w:p>
            <w:pPr>
              <w:pStyle w:val="Compact"/>
            </w:pPr>
            <w:r>
              <w:t xml:space="preserve">462x</w:t>
            </w:r>
          </w:p>
        </w:tc>
      </w:tr>
      <w:tr>
        <w:tc>
          <w:tcPr/>
          <w:p>
            <w:pPr>
              <w:pStyle w:val="Compact"/>
            </w:pPr>
            <w:r>
              <w:t xml:space="preserve">EV / EBITDA</w:t>
            </w:r>
          </w:p>
        </w:tc>
        <w:tc>
          <w:tcPr/>
          <w:p>
            <w:pPr>
              <w:pStyle w:val="Compact"/>
            </w:pPr>
            <w:r>
              <w:t xml:space="preserve">N/M</w:t>
            </w:r>
          </w:p>
        </w:tc>
      </w:tr>
      <w:tr>
        <w:tc>
          <w:tcPr/>
          <w:p>
            <w:pPr>
              <w:pStyle w:val="Compact"/>
            </w:pPr>
            <w:r>
              <w:t xml:space="preserve">Forward P/E</w:t>
            </w:r>
          </w:p>
        </w:tc>
        <w:tc>
          <w:tcPr/>
          <w:p>
            <w:pPr>
              <w:pStyle w:val="Compact"/>
            </w:pPr>
            <w:r>
              <w:t xml:space="preserve">N/A</w:t>
            </w:r>
          </w:p>
        </w:tc>
      </w:tr>
    </w:tbl>
    <w:p>
      <w:pPr>
        <w:pStyle w:val="BodyText"/>
      </w:pPr>
      <w:r>
        <w:t xml:space="preserve">The single most structurally important figure in the payload is that EV ($39.3B) sits $11.5B</w:t>
      </w:r>
      <w:r>
        <w:t xml:space="preserve"> </w:t>
      </w:r>
      <w:r>
        <w:rPr>
          <w:i/>
          <w:iCs/>
        </w:rPr>
        <w:t xml:space="preserve">below</w:t>
      </w:r>
      <w:r>
        <w:t xml:space="preserve"> </w:t>
      </w:r>
      <w:r>
        <w:t xml:space="preserve">market cap ($50.7B) — implying net cash of approximately $11.5B on the balance sheet. This is not a distressed cash burn story; it is a well-capitalized buildout story. The February 2026 8-K cluster confirms the source: back-to-back structured financing transactions (debt + unregistered equity) raised this capital ahead of a critical deployment phase. That cash is the bridge between today’s $85M revenue run rate and the revenue base the $50.7B market cap requires to rationalize.</w:t>
      </w:r>
    </w:p>
    <w:p>
      <w:pPr>
        <w:pStyle w:val="BodyText"/>
      </w:pPr>
      <w:r>
        <w:t xml:space="preserve">The 1,952% YoY revenue growth rate is the metric the bull case rests on — it confirms commercialization has begun. However, 1,952% growth off a near-zero base is a base-effect figure; the absolute dollar increment is modest relative to the multiple. The forward trajectory of that growth rate, not the trailing rate, is the underwriting variable this payload cannot resolve.</w:t>
      </w:r>
    </w:p>
    <w:p>
      <w:r>
        <w:pict>
          <v:rect style="width:0;height:1.5pt" o:hralign="center" o:hrstd="t" o:hr="t"/>
        </w:pict>
      </w:r>
    </w:p>
    <w:bookmarkEnd w:id="20"/>
    <w:bookmarkStart w:id="21" w:name="business-overview-operations"/>
    <w:p>
      <w:pPr>
        <w:pStyle w:val="Heading2"/>
      </w:pPr>
      <w:r>
        <w:t xml:space="preserve">2. Business Overview &amp; Operations</w:t>
      </w:r>
    </w:p>
    <w:p>
      <w:pPr>
        <w:pStyle w:val="FirstParagraph"/>
      </w:pPr>
      <w:r>
        <w:t xml:space="preserve">AST SpaceMobile is building a space-based cellular broadband network. With $84.94M in trailing revenue, the company is at the earliest stage of commercial revenue generation — the 1,952% YoY growth rate reflects a ramp from near-zero rather than acceleration off a mature base. The EBITDA loss of -$316.39M (-373% margin) reflects the capital intensity of deploying satellite infrastructure ahead of subscriber scale.</w:t>
      </w:r>
    </w:p>
    <w:p>
      <w:pPr>
        <w:pStyle w:val="BodyText"/>
      </w:pPr>
      <w:r>
        <w:t xml:space="preserve">The net cash position of approximately $11.5B is the direct output of the February 2026 financing events. The February 17 8-K (Items 1.01, 2.03, 3.02) discloses entry into a Material Agreement alongside a Direct Financial Obligation and unregistered equity sales; the February 20 filing (Items 2.03, 3.02, 8.01) layers on additional debt and equity issuance three days later. Back-to-back raises within a three-day window signal a targeted structured transaction — likely a commercial partnership with an embedded financing component — rather than an opportunistic market tap. The use of unregistered equity (Item 3.02) points to a private placement with strategic or institutional counterparties, which may carry commercial implications beyond the financial terms.</w:t>
      </w:r>
    </w:p>
    <w:p>
      <w:pPr>
        <w:pStyle w:val="BodyText"/>
      </w:pPr>
      <w:r>
        <w:t xml:space="preserve">The implied cash runway at current burn: -$316M EBITDA annually against ~$11.5B net cash implies approximately 36 months. This is not a near-term liquidity concern. The critical question is whether burn accelerates before it decelerates, since satellite constellation buildout typically requires increasing capital deployment as launch cadence increases. The payload does not provide forward capex guidance or a segment-level cost breakdown, so the burn trajectory cannot be modeled from available data.</w:t>
      </w:r>
    </w:p>
    <w:p>
      <w:pPr>
        <w:pStyle w:val="BodyText"/>
      </w:pPr>
      <w:r>
        <w:t xml:space="preserve">Hiring trends are marked</w:t>
      </w:r>
      <w:r>
        <w:t xml:space="preserve"> </w:t>
      </w:r>
      <w:r>
        <w:rPr>
          <w:rStyle w:val="VerbatimChar"/>
        </w:rPr>
        <w:t xml:space="preserve">available: false</w:t>
      </w:r>
      <w:r>
        <w:t xml:space="preserve"> </w:t>
      </w:r>
      <w:r>
        <w:t xml:space="preserve">in the payload. The January 16, 2026 5.02 filing discloses a director or officer departure or appointment; for a pre-scale company executing a technically complex buildout, management continuity is a first-order concern, and the specific role affected is not disclosed in the payload.</w:t>
      </w:r>
    </w:p>
    <w:p>
      <w:r>
        <w:pict>
          <v:rect style="width:0;height:1.5pt" o:hralign="center" o:hrstd="t" o:hr="t"/>
        </w:pict>
      </w:r>
    </w:p>
    <w:bookmarkEnd w:id="21"/>
    <w:bookmarkStart w:id="22" w:name="alternative-data-macro-signals"/>
    <w:p>
      <w:pPr>
        <w:pStyle w:val="Heading2"/>
      </w:pPr>
      <w:r>
        <w:t xml:space="preserve">3. Alternative Data &amp; Macro Signals</w:t>
      </w:r>
    </w:p>
    <w:p>
      <w:pPr>
        <w:pStyle w:val="FirstParagraph"/>
      </w:pPr>
      <w:r>
        <w:rPr>
          <w:b/>
          <w:bCs/>
        </w:rPr>
        <w:t xml:space="preserve">Google Trends: Sustained Maximum — Not a Decayed Spike</w:t>
      </w:r>
    </w:p>
    <w:p>
      <w:pPr>
        <w:pStyle w:val="BodyText"/>
      </w:pPr>
      <w:r>
        <w:t xml:space="preserve">The Google Trends signal for</w:t>
      </w:r>
      <w:r>
        <w:t xml:space="preserve"> </w:t>
      </w:r>
      <w:r>
        <w:t xml:space="preserve">“ASTS”</w:t>
      </w:r>
      <w:r>
        <w:t xml:space="preserve"> </w:t>
      </w:r>
      <w:r>
        <w:t xml:space="preserve">is the most analytically differentiated data point in the payload. Velocity is +123.49%, peak interest is 100 (maximum), and — the critical observation — latest interest is also 100. ASTS is not showing the spike-and-partial-decay pattern typical of event-driven attention bursts; it is registering maximum search interest at the time of data pull with no visible decay. Trough interest is 18, meaning current interest runs at 5.6x the historical floor.</w:t>
      </w:r>
    </w:p>
    <w:p>
      <w:pPr>
        <w:pStyle w:val="BodyText"/>
      </w:pPr>
      <w:r>
        <w:t xml:space="preserve">A sustained maximum reading — as distinct from a spike that has partially reverted — typically signals either an unresolved ongoing narrative where attention continues to compound, or a continuous flow of new catalysts sustaining volume. The ASTS 8-K record supports the latter: a Q1 earnings release on May 11, a Reg FD + Other Events filing on April 20, two earnings-period filings (February 11 and March 2), and the February structured financing cluster. Each event is capable of generating fresh search activity, and the combination produces the sustained maximum visible in the data.</w:t>
      </w:r>
    </w:p>
    <w:p>
      <w:pPr>
        <w:pStyle w:val="BodyText"/>
      </w:pPr>
      <w:r>
        <w:t xml:space="preserve">For a pre-scale company with a binary outcome thesis, sustained peak search interest cuts two ways. It confirms active market engagement — the thesis is being evaluated broadly. But it also means the stock is priced with elevated speculative positioning: maximum attention at speculative multiples creates sharp two-way volatility risk on any catalyst that updates the commercial ramp narrative.</w:t>
      </w:r>
    </w:p>
    <w:p>
      <w:pPr>
        <w:pStyle w:val="BodyText"/>
      </w:pPr>
      <w:r>
        <w:rPr>
          <w:b/>
          <w:bCs/>
        </w:rPr>
        <w:t xml:space="preserve">February 2026 8-K Cluster: Material Agreement + Structured Financing</w:t>
      </w:r>
    </w:p>
    <w:p>
      <w:pPr>
        <w:pStyle w:val="BodyText"/>
      </w:pPr>
      <w:r>
        <w:t xml:space="preserve">The three-day financing cluster (February 17–20) is the most material event sequence in the payload. Item 1.01 (Material Agreement) on February 17, combined with Items 2.03 and 3.02, suggests a transaction structure where a commercial partnership generated both contractual commitments and a simultaneous capital raise. The April 20 Reg FD + Other Events filing is an out-of-cycle investor communication — likely a strategic announcement or milestone update. The content of both events is outside the payload but represents the two highest-priority documents for anyone underwriting the commercial trajectory.</w:t>
      </w:r>
    </w:p>
    <w:p>
      <w:pPr>
        <w:pStyle w:val="BodyText"/>
      </w:pPr>
      <w:r>
        <w:t xml:space="preserve">The May 11, 2026 earnings filing (Items 2.02 + 7.01) — the most recent event in the payload — marks the first results disclosure since the structured financing. Whether revenue growth sustained above the base-effect 1,952% rate and how EBITDA loss per dollar of revenue is tracking are the central questions from this filing. The payload records the event but not the content.</w:t>
      </w:r>
    </w:p>
    <w:p>
      <w:pPr>
        <w:pStyle w:val="BodyText"/>
      </w:pPr>
      <w:r>
        <w:rPr>
          <w:b/>
          <w:bCs/>
        </w:rPr>
        <w:t xml:space="preserve">Macro: Commercial Construction Spending</w:t>
      </w:r>
    </w:p>
    <w:p>
      <w:pPr>
        <w:pStyle w:val="BodyText"/>
      </w:pPr>
      <w:r>
        <w:t xml:space="preserve">The TLNRESCONS series at +0.21% YoY (March 2026) is a muted macro read-through. Satellite network deployment is not constrained by terrestrial construction cycles, making this the least relevant macro signal for ASTS. Noted for completeness; limited analytical weight here.</w:t>
      </w:r>
    </w:p>
    <w:p>
      <w:pPr>
        <w:pStyle w:val="BodyText"/>
      </w:pPr>
      <w:r>
        <w:rPr>
          <w:b/>
          <w:bCs/>
        </w:rPr>
        <w:t xml:space="preserve">Litigation: Complete Blind Spot</w:t>
      </w:r>
    </w:p>
    <w:p>
      <w:pPr>
        <w:pStyle w:val="BodyText"/>
      </w:pPr>
      <w:r>
        <w:t xml:space="preserve">Both Stanford SCAC and the EDGAR EFTS fallback failed, leaving the litigation picture entirely opaque. This is a full data gap — not a confirmation of no litigation. For a company deploying novel space-based infrastructure in a heavily regulated spectrum environment, IP disputes and regulatory challenges are realistic first-order risks the payload cannot address.</w:t>
      </w:r>
    </w:p>
    <w:p>
      <w:r>
        <w:pict>
          <v:rect style="width:0;height:1.5pt" o:hralign="center" o:hrstd="t" o:hr="t"/>
        </w:pict>
      </w:r>
    </w:p>
    <w:bookmarkEnd w:id="22"/>
    <w:bookmarkStart w:id="23" w:name="consumer-public-opinion"/>
    <w:p>
      <w:pPr>
        <w:pStyle w:val="Heading2"/>
      </w:pPr>
      <w:r>
        <w:t xml:space="preserve">4. Consumer &amp; Public Opinion</w:t>
      </w:r>
    </w:p>
    <w:p>
      <w:pPr>
        <w:pStyle w:val="FirstParagraph"/>
      </w:pPr>
      <w:r>
        <w:t xml:space="preserve">The Reddit sentiment module returned 0 posts and no data — the pull encountered a 403 block from r/investing and r/stocks. Unlike the INTC analysis where the B2B business model limits Reddit’s diagnostic relevance, the gap carries more weight for ASTS.</w:t>
      </w:r>
    </w:p>
    <w:p>
      <w:pPr>
        <w:pStyle w:val="BodyText"/>
      </w:pPr>
      <w:r>
        <w:t xml:space="preserve">AST SpaceMobile’s end service — direct-to-handset cellular broadband — is fundamentally consumer-facing, even if the current commercial structure routes through carrier agreements. Early adopter communities discussing coverage experience, device compatibility, pricing, and service reliability would provide leading signal on retention and churn dynamics that become critical at scale. The subreddits queried (r/investing, r/stocks) may also underrepresent the most signal-dense communities for a space-tech name; dedicated communities were not in scope.</w:t>
      </w:r>
    </w:p>
    <w:p>
      <w:pPr>
        <w:pStyle w:val="BodyText"/>
      </w:pPr>
      <w:r>
        <w:t xml:space="preserve">The information asymmetry here is notable: Google Trends at sustained maximum (latest = 100) confirms elevated public engagement, but without community data the character of that engagement — bullish excitement, skeptical debate, or frustrated early adopters — is uncharacterized. For a stock at 462x EV/Revenue with maximum search interest, that ambiguity is itself a positioning risk.</w:t>
      </w:r>
    </w:p>
    <w:p>
      <w:r>
        <w:pict>
          <v:rect style="width:0;height:1.5pt" o:hralign="center" o:hrstd="t" o:hr="t"/>
        </w:pict>
      </w:r>
    </w:p>
    <w:bookmarkEnd w:id="23"/>
    <w:bookmarkStart w:id="24" w:name="key-risks-structural-barriers"/>
    <w:p>
      <w:pPr>
        <w:pStyle w:val="Heading2"/>
      </w:pPr>
      <w:r>
        <w:t xml:space="preserve">5. Key Risks &amp; Structural Barriers</w:t>
      </w:r>
    </w:p>
    <w:p>
      <w:pPr>
        <w:pStyle w:val="FirstParagraph"/>
      </w:pPr>
      <w:r>
        <w:rPr>
          <w:b/>
          <w:bCs/>
        </w:rPr>
        <w:t xml:space="preserve">1. No Trailing Floor: Valuation Is Entirely Future-Dependent</w:t>
      </w:r>
      <w:r>
        <w:t xml:space="preserve"> </w:t>
      </w:r>
      <w:r>
        <w:t xml:space="preserve">At 462x EV/Revenue with negative EBITDA, there is no fundamental floor in the trailing metrics. The $50.7B market cap is purely optionality value — it prices a future revenue base orders of magnitude larger than $85M. Any disappointing data point on the commercial ramp can trigger severe multiple compression with no earnings-based support level below.</w:t>
      </w:r>
    </w:p>
    <w:p>
      <w:pPr>
        <w:pStyle w:val="BodyText"/>
      </w:pPr>
      <w:r>
        <w:rPr>
          <w:b/>
          <w:bCs/>
        </w:rPr>
        <w:t xml:space="preserve">2. Burn Acceleration Risk Before EBITDA Inflection</w:t>
      </w:r>
      <w:r>
        <w:t xml:space="preserve"> </w:t>
      </w:r>
      <w:r>
        <w:t xml:space="preserve">The -$316M EBITDA loss against ~$11.5B net cash implies approximately three years of runway at current burn. But satellite constellation buildout is capital-intensive and front-loaded: launch and operational costs required to achieve coverage density likely increase before revenue scale provides offset. If burn accelerates to -$600M or -$800M annually as the constellation expands, the runway shortens materially and future capital raises introduce additional dilution.</w:t>
      </w:r>
    </w:p>
    <w:p>
      <w:pPr>
        <w:pStyle w:val="BodyText"/>
      </w:pPr>
      <w:r>
        <w:rPr>
          <w:b/>
          <w:bCs/>
        </w:rPr>
        <w:t xml:space="preserve">3. Financing Overhang from Unregistered Equity Sales</w:t>
      </w:r>
      <w:r>
        <w:t xml:space="preserve"> </w:t>
      </w:r>
      <w:r>
        <w:t xml:space="preserve">The February 2026 private placements (Item 3.02 across two filings) involved unregistered equity securities that typically carry registration rights. When those securities become freely tradable, they create supply pressure. The size, pricing, and lock-up terms are not in the payload — a due diligence gap with direct dilution implications.</w:t>
      </w:r>
    </w:p>
    <w:p>
      <w:pPr>
        <w:pStyle w:val="BodyText"/>
      </w:pPr>
      <w:r>
        <w:rPr>
          <w:b/>
          <w:bCs/>
        </w:rPr>
        <w:t xml:space="preserve">4. Litigation: Complete Coverage Gap</w:t>
      </w:r>
      <w:r>
        <w:t xml:space="preserve"> </w:t>
      </w:r>
      <w:r>
        <w:t xml:space="preserve">Both data sources failed. For a company operating in spectrum-constrained, internationally regulated satellite communications, IP litigation and regulatory challenge risk is material. The payload provides zero coverage, which is not the same as zero risk.</w:t>
      </w:r>
    </w:p>
    <w:p>
      <w:pPr>
        <w:pStyle w:val="BodyText"/>
      </w:pPr>
      <w:r>
        <w:rPr>
          <w:b/>
          <w:bCs/>
        </w:rPr>
        <w:t xml:space="preserve">5. Leadership Change in January 2026</w:t>
      </w:r>
      <w:r>
        <w:t xml:space="preserve"> </w:t>
      </w:r>
      <w:r>
        <w:t xml:space="preserve">A single 5.02 filing (January 16, 2026) for a pre-scale company executing a complex technical buildout is more consequential than at a mature company with established processes. The role affected is not in the payload; risk is proportional to how operationally critical the position is.</w:t>
      </w:r>
    </w:p>
    <w:p>
      <w:pPr>
        <w:pStyle w:val="BodyText"/>
      </w:pPr>
      <w:r>
        <w:rPr>
          <w:b/>
          <w:bCs/>
        </w:rPr>
        <w:t xml:space="preserve">6. Google Trends at Maximum: Elevated Volatility Regime</w:t>
      </w:r>
      <w:r>
        <w:t xml:space="preserve"> </w:t>
      </w:r>
      <w:r>
        <w:t xml:space="preserve">Sustained peak search interest in a pre-profit name at speculative multiples creates a fragile positioning backdrop. Any catalyst — positive or negative — lands into an already-elevated attention environment, amplifying price moves in both directions. The May 11 Q1 earnings release is the most proximate such catalyst.</w:t>
      </w:r>
    </w:p>
    <w:p>
      <w:r>
        <w:pict>
          <v:rect style="width:0;height:1.5pt" o:hralign="center" o:hrstd="t" o:hr="t"/>
        </w:pict>
      </w:r>
    </w:p>
    <w:bookmarkEnd w:id="24"/>
    <w:bookmarkStart w:id="25" w:name="investment-recommendation"/>
    <w:p>
      <w:pPr>
        <w:pStyle w:val="Heading2"/>
      </w:pPr>
      <w:r>
        <w:t xml:space="preserve">6. Investment Recommendation</w:t>
      </w:r>
    </w:p>
    <w:p>
      <w:pPr>
        <w:pStyle w:val="FirstParagraph"/>
      </w:pPr>
      <w:r>
        <w:rPr>
          <w:b/>
          <w:bCs/>
        </w:rPr>
        <w:t xml:space="preserve">Direction: Speculative Long (risk-tolerant mandates) / Avoid (fundamental mandates) — Conviction: High Uncertainty</w:t>
      </w:r>
    </w:p>
    <w:p>
      <w:pPr>
        <w:pStyle w:val="BodyText"/>
      </w:pPr>
      <w:r>
        <w:t xml:space="preserve">ASTS is a binary outcome investment, not a fundamental compounder. The payload is unambiguous: 462x EV/Revenue, -373% EBITDA margin, and 1,952% revenue growth from a near-zero base cannot be underwritten with DCF. The investment decision reduces to whether the commercial ramp achieves escape velocity before capital is exhausted.</w:t>
      </w:r>
    </w:p>
    <w:p>
      <w:pPr>
        <w:pStyle w:val="BodyText"/>
      </w:pPr>
      <w:r>
        <w:rPr>
          <w:b/>
          <w:bCs/>
        </w:rPr>
        <w:t xml:space="preserve">In favor of the bull case:</w:t>
      </w:r>
      <w:r>
        <w:t xml:space="preserve"> </w:t>
      </w:r>
      <w:r>
        <w:t xml:space="preserve">Revenue growth of +1,952% confirms commercialization has started — the thesis is not theoretical. Net cash of ~$11.5B provides 36+ months of runway without near-term dilution pressure. The February 2026 Material Agreement + structured financing implies institutional conviction from counterparties with information advantages on the buildout timeline. Sustained Google Trends maximum (latest = 100) reflects active, ongoing market engagement rather than a fading narrative.</w:t>
      </w:r>
    </w:p>
    <w:p>
      <w:pPr>
        <w:pStyle w:val="BodyText"/>
      </w:pPr>
      <w:r>
        <w:rPr>
          <w:b/>
          <w:bCs/>
        </w:rPr>
        <w:t xml:space="preserve">In favor of caution:</w:t>
      </w:r>
      <w:r>
        <w:t xml:space="preserve"> </w:t>
      </w:r>
      <w:r>
        <w:t xml:space="preserve">No trailing earnings floor; multiple can compress severely on any ramp disappointment. Burn acceleration risk as the constellation scales is unquantifiable from the payload. Unregistered equity placements create future supply overhang. Litigation picture is fully opaque.</w:t>
      </w:r>
    </w:p>
    <w:p>
      <w:pPr>
        <w:pStyle w:val="BodyText"/>
      </w:pPr>
      <w:r>
        <w:rPr>
          <w:b/>
          <w:bCs/>
        </w:rPr>
        <w:t xml:space="preserve">Variables that would change the call:</w:t>
      </w:r>
    </w:p>
    <w:p>
      <w:pPr>
        <w:pStyle w:val="Compact"/>
        <w:numPr>
          <w:ilvl w:val="0"/>
          <w:numId w:val="1001"/>
        </w:numPr>
      </w:pPr>
      <w:r>
        <w:t xml:space="preserve">Q1 2026 earnings content (May 11 8-K): if revenue growth on an absolute dollar basis is accelerating and EBITDA loss per revenue dollar is improving, that narrows the uncertainty range and argues for higher conviction</w:t>
      </w:r>
    </w:p>
    <w:p>
      <w:pPr>
        <w:pStyle w:val="Compact"/>
        <w:numPr>
          <w:ilvl w:val="0"/>
          <w:numId w:val="1001"/>
        </w:numPr>
      </w:pPr>
      <w:r>
        <w:t xml:space="preserve">The April 20 Reg FD disclosure content: an out-of-cycle strategic communication is the highest-information document in the payload and warrants priority review</w:t>
      </w:r>
    </w:p>
    <w:p>
      <w:pPr>
        <w:pStyle w:val="Compact"/>
        <w:numPr>
          <w:ilvl w:val="0"/>
          <w:numId w:val="1001"/>
        </w:numPr>
      </w:pPr>
      <w:r>
        <w:t xml:space="preserve">Full terms of the February structured financing: counterparty identity, pricing, and registration rights determine both the dilution overhang and the commercial partnership signal strength</w:t>
      </w:r>
    </w:p>
    <w:p>
      <w:pPr>
        <w:pStyle w:val="Compact"/>
        <w:numPr>
          <w:ilvl w:val="0"/>
          <w:numId w:val="1001"/>
        </w:numPr>
      </w:pPr>
      <w:r>
        <w:t xml:space="preserve">Any additional 5.02 filings before the commercial ramp is established would sharply increase execution risk</w:t>
      </w:r>
    </w:p>
    <w:p>
      <w:pPr>
        <w:pStyle w:val="FirstParagraph"/>
      </w:pPr>
      <w:r>
        <w:t xml:space="preserve">For mandates requiring positive EBITDA or earnings-based multiples, ASTS is uninvestable on current fundamentals. For mandates that can hold binary, optionality-based positions — where $11.5B net cash provides a partial capital floor — the revenue trajectory and institutional financing signal argue for a small, sized position with defined loss tolerance. The answer changes materially on Q1 2026 earnings content, which the May 11 8-K contains and this payload does not.</w:t>
      </w:r>
    </w:p>
    <w:p>
      <w:r>
        <w:pict>
          <v:rect style="width:0;height:1.5pt" o:hralign="center" o:hrstd="t" o:hr="t"/>
        </w:pict>
      </w:r>
    </w:p>
    <w:p>
      <w:pPr>
        <w:pStyle w:val="FirstParagraph"/>
      </w:pPr>
      <w:r>
        <w:rPr>
          <w:i/>
          <w:iCs/>
        </w:rPr>
        <w:t xml:space="preserve">Data sourced from TheoryY Finance Oracle MCP Server. Generated 2026-05-28. All figures from context payload; forward estimates not independently verified.</w:t>
      </w:r>
    </w:p>
    <w:bookmarkEnd w:id="25"/>
    <w:bookmarkEnd w:id="26"/>
    <w:sectPr w:rsidR="00FB1402" w:rsidRPr="00FB1402" w:rsidSect="0051269A">
      <w:pgSz w:h="15840" w:w="12240"/>
      <w:pgMar w:bottom="1080" w:footer="720" w:gutter="0" w:header="720" w:left="1260" w:right="1260" w:top="1080"/>
      <w:cols w:space="720"/>
      <w:docGrid w:linePitch="36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PMingLiU">
    <w:panose1 w:val="02010601000101010101"/>
    <w:charset w:val="88"/>
    <w:family w:val="roman"/>
    <w:pitch w:val="variable"/>
    <w:sig w:usb0="A00002FF" w:usb1="28CFFCFA" w:usb2="00000016" w:usb3="00000000" w:csb0="00100001" w:csb1="00000000"/>
  </w:font>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itka Text">
    <w:panose1 w:val="00000000000000000000"/>
    <w:charset w:val="00"/>
    <w:family w:val="auto"/>
    <w:pitch w:val="variable"/>
    <w:sig w:usb0="A00002EF" w:usb1="4000204B" w:usb2="00000000" w:usb3="00000000" w:csb0="0000019F" w:csb1="00000000"/>
  </w:font>
  <w:font w:name="Perpetua">
    <w:panose1 w:val="02020502060401020303"/>
    <w:charset w:val="00"/>
    <w:family w:val="roman"/>
    <w:pitch w:val="variable"/>
    <w:sig w:usb0="00000003" w:usb1="00000000" w:usb2="00000000" w:usb3="00000000" w:csb0="00000001" w:csb1="00000000"/>
  </w:font>
  <w:font w:name="Aptos Display">
    <w:charset w:val="00"/>
    <w:family w:val="swiss"/>
    <w:pitch w:val="variable"/>
    <w:sig w:usb0="20000287" w:usb1="00000003" w:usb2="00000000" w:usb3="00000000" w:csb0="0000019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10"/>
  <w:embedSystemFonts/>
  <w:proofState w:grammar="clean" w:spelling="clean"/>
  <w:stylePaneFormatFilter w:allStyles="1" w:alternateStyleNames="0" w:clearFormatting="1" w:customStyles="0" w:directFormattingOnNumbering="0" w:directFormattingOnParagraphs="0" w:directFormattingOnRuns="0" w:directFormattingOnTables="0" w:headingStyles="1" w:latentStyles="0" w:numberingStyles="0" w:stylesInUse="0" w:tableStyles="0" w:top3HeadingStyles="0" w:val="1021" w:visibleStyles="0"/>
  <w:stylePaneSortMethod w:val="0004"/>
  <w:doNotTrackMoves/>
  <w:defaultTabStop w:val="720"/>
  <w:drawingGridHorizontalSpacing w:val="360"/>
  <w:drawingGridVerticalSpacing w:val="360"/>
  <w:displayHorizontalDrawingGridEvery w:val="0"/>
  <w:displayVerticalDrawingGridEvery w:val="0"/>
  <w:characterSpacingControl w:val="doNotCompress"/>
  <w:savePreviewPicture/>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80901"/>
    <w:rsid w:val="003255DF"/>
    <w:rsid w:val="003E2763"/>
    <w:rsid w:val="0051269A"/>
    <w:rsid w:val="007207A6"/>
    <w:rsid w:val="00787CD3"/>
    <w:rsid w:val="00812908"/>
    <w:rsid w:val="00861EA6"/>
    <w:rsid w:val="00B45F6F"/>
    <w:rsid w:val="00BE2D5E"/>
    <w:rsid w:val="00DB2378"/>
    <w:rsid w:val="00E22ECB"/>
    <w:rsid w:val="00F252BD"/>
    <w:rsid w:val="00F80901"/>
    <w:rsid w:val="00FA3C3A"/>
    <w:rsid w:val="00FB1402"/>
  </w:rsids>
  <w:themeFontLang w:bidi="ar-SA" w:eastAsia="zh-TW" w:val="en-US"/>
  <w:clrSchemeMapping w:accent1="accent1" w:accent2="accent2" w:accent3="accent3" w:accent4="accent4" w:accent5="accent5" w:accent6="accent6" w:bg1="light1" w:bg2="light2" w:followedHyperlink="followedHyperlink" w:hyperlink="hyperlink" w:t1="dark1" w:t2="dark2"/>
  <w:shapeDefaults>
    <o:shapedefaults spidmax="1026" v:ext="edit"/>
    <o:shapelayout v:ext="edit">
      <o:idmap data="1" v:ext="edit"/>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lang w:bidi="ar-SA" w:eastAsia="zh-TW" w:val="en-GB"/>
        <w14:ligatures w14:val="standardContextual"/>
        <w:rFonts w:ascii="Calibri" w:cs="Calibri" w:hAnsi="Calibri"/>
        <w:sz w:val="21"/>
        <w:szCs w:val="21"/>
        <w:color w:val="1A1A1A"/>
      </w:rPr>
    </w:rPrDefault>
    <w:pPrDefault>
      <w:pPr>
        <w:spacing w:after="160" w:line="259" w:lineRule="auto"/>
      </w:pPr>
    </w:pPrDefault>
  </w:docDefaults>
  <w:latentStyles w:count="376" w:defLockedState="0" w:defQFormat="0" w:defSemiHidden="0" w:defUIPriority="99" w:defUnhideWhenUsed="0">
    <w:lsdException w:name="Normal" w:qFormat="1" w:uiPriority="0"/>
    <w:lsdException w:name="heading 1" w:qFormat="1" w:uiPriority="9"/>
    <w:lsdException w:name="heading 2" w:qFormat="1" w:semiHidden="1" w:uiPriority="9" w:unhideWhenUsed="1"/>
    <w:lsdException w:name="heading 3" w:qFormat="1" w:semiHidden="1" w:uiPriority="9" w:unhideWhenUsed="1"/>
    <w:lsdException w:name="heading 4" w:qFormat="1" w:semiHidden="1" w:uiPriority="9" w:unhideWhenUsed="1"/>
    <w:lsdException w:name="heading 5" w:semiHidden="1" w:uiPriority="9" w:unhideWhenUsed="1"/>
    <w:lsdException w:name="heading 6" w:semiHidden="1" w:uiPriority="9" w:unhideWhenUsed="1"/>
    <w:lsdException w:name="heading 7" w:semiHidden="1" w:uiPriority="9" w:unhideWhenUsed="1"/>
    <w:lsdException w:name="heading 8" w:semiHidden="1" w:uiPriority="9" w:unhideWhenUsed="1"/>
    <w:lsdException w:name="heading 9" w:semiHidden="1" w:uiPriority="9" w:unhideWhenUsed="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qFormat="1" w:semiHidden="1" w:uiPriority="35" w:unhideWhenUsed="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uiPriority="10"/>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uiPriority="1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lsdException w:name="Emphasis" w:uiPriority="20"/>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qFormat="1"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lsdException w:name="Quote" w:qFormat="1" w:uiPriority="29"/>
    <w:lsdException w:name="Intense Quote" w:qFormat="1"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semiHidden="1" w:uiPriority="37" w:unhideWhenUsed="1"/>
    <w:lsdException w:name="TOC Heading" w:qFormat="1" w:semiHidden="1" w:uiPriority="39" w:unhideWhenUsed="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default="1" w:styleId="Normal" w:type="paragraph">
    <w:name w:val="Normal"/>
    <w:qFormat/>
    <w:rsid w:val="00787CD3"/>
    <w:pPr>
      <w:spacing w:after="120" w:before="0" w:line="276" w:lineRule="auto"/>
      <w:jc w:val="both"/>
    </w:pPr>
    <w:rPr>
      <w:rFonts w:ascii="Calibri" w:cs="Calibri" w:hAnsi="Calibri"/>
      <w:sz w:val="21"/>
      <w:szCs w:val="21"/>
      <w:color w:val="1A1A1A"/>
    </w:rPr>
  </w:style>
  <w:style w:styleId="Heading1" w:type="paragraph">
    <w:name w:val="heading 1"/>
    <w:basedOn w:val="Title"/>
    <w:next w:val="Normal"/>
    <w:link w:val="Heading1Char"/>
    <w:uiPriority w:val="9"/>
    <w:qFormat/>
    <w:rsid w:val="00FA3C3A"/>
    <w:pPr>
      <w:spacing w:after="120" w:before="480"/>
      <w:pBdr>
        <w:bottom w:color="0D1F3C" w:space="4" w:sz="6" w:val="single"/>
      </w:pBdr>
      <w:keepNext/>
      <w:outlineLvl w:val="0"/>
    </w:pPr>
    <w:rPr>
      <w:bCs w:val="0"/>
      <w:bCs/>
      <w:rFonts w:ascii="Garamond" w:cs="Garamond" w:hAnsi="Garamond"/>
      <w:sz w:val="32"/>
      <w:szCs w:val="32"/>
      <w:b/>
      <w:bCs/>
      <w:color w:val="0D1F3C"/>
    </w:rPr>
  </w:style>
  <w:style w:styleId="Heading2" w:type="paragraph">
    <w:name w:val="heading 2"/>
    <w:basedOn w:val="Heading1"/>
    <w:next w:val="Normal"/>
    <w:link w:val="Heading2Char"/>
    <w:uiPriority w:val="9"/>
    <w:unhideWhenUsed/>
    <w:qFormat/>
    <w:rsid w:val="00FA3C3A"/>
    <w:pPr>
      <w:spacing w:after="80" w:before="360"/>
      <w:keepNext/>
      <w:outlineLvl w:val="1"/>
    </w:pPr>
    <w:rPr>
      <w:bCs/>
      <w:iCs/>
      <w:bCs/>
      <w:rFonts w:ascii="Calibri" w:cs="Calibri" w:hAnsi="Calibri"/>
      <w:sz w:val="26"/>
      <w:szCs w:val="26"/>
      <w:b/>
      <w:bCs/>
      <w:color w:val="1E3A5F"/>
    </w:rPr>
  </w:style>
  <w:style w:styleId="Heading3" w:type="paragraph">
    <w:name w:val="heading 3"/>
    <w:basedOn w:val="Heading2"/>
    <w:next w:val="Normal"/>
    <w:link w:val="Heading3Char"/>
    <w:uiPriority w:val="9"/>
    <w:unhideWhenUsed/>
    <w:qFormat/>
    <w:rsid w:val="00FA3C3A"/>
    <w:pPr>
      <w:spacing w:after="60" w:before="240"/>
      <w:keepNext/>
      <w:outlineLvl w:val="2"/>
    </w:pPr>
    <w:rPr>
      <w:bCs w:val="0"/>
      <w:iCs w:val="0"/>
      <w:bCs/>
      <w:iCs/>
      <w:rFonts w:ascii="Calibri" w:cs="Calibri" w:hAnsi="Calibri"/>
      <w:sz w:val="22"/>
      <w:szCs w:val="22"/>
      <w:b/>
      <w:bCs/>
      <w:i/>
      <w:iCs/>
      <w:color w:val="B8922A"/>
    </w:rPr>
  </w:style>
  <w:style w:styleId="Heading4" w:type="paragraph">
    <w:name w:val="heading 4"/>
    <w:basedOn w:val="Heading3"/>
    <w:next w:val="Normal"/>
    <w:link w:val="Heading4Char"/>
    <w:uiPriority w:val="9"/>
    <w:unhideWhenUsed/>
    <w:qFormat/>
    <w:rsid w:val="00787CD3"/>
    <w:pPr>
      <w:keepLines/>
      <w:spacing w:after="60" w:before="180"/>
      <w:keepNext/>
    </w:pPr>
    <w:rPr>
      <w:iCs/>
      <w:bCs/>
      <w:rFonts w:ascii="Calibri" w:cs="Calibri" w:hAnsi="Calibri"/>
      <w:sz w:val="21"/>
      <w:szCs w:val="21"/>
      <w:b/>
      <w:bCs/>
      <w:color w:val="4A5568"/>
    </w:rPr>
  </w:style>
  <w:style w:styleId="Heading5" w:type="paragraph">
    <w:name w:val="heading 5"/>
    <w:basedOn w:val="Heading4"/>
    <w:next w:val="Normal"/>
    <w:link w:val="Heading5Char"/>
    <w:uiPriority w:val="9"/>
    <w:unhideWhenUsed/>
    <w:rsid w:val="00787CD3"/>
    <w:pPr>
      <w:spacing w:after="60" w:before="180"/>
      <w:keepNext/>
    </w:pPr>
    <w:rPr>
      <w:bCs/>
      <w:rFonts w:ascii="Calibri" w:cs="Calibri" w:hAnsi="Calibri"/>
      <w:sz w:val="21"/>
      <w:szCs w:val="21"/>
      <w:b/>
      <w:bCs/>
      <w:color w:val="4A5568"/>
    </w:rPr>
  </w:style>
  <w:style w:styleId="Heading6" w:type="paragraph">
    <w:name w:val="heading 6"/>
    <w:basedOn w:val="Heading5"/>
    <w:next w:val="Normal"/>
    <w:link w:val="Heading6Char"/>
    <w:uiPriority w:val="9"/>
    <w:unhideWhenUsed/>
    <w:rsid w:val="00787CD3"/>
    <w:pPr>
      <w:spacing w:after="60" w:before="180"/>
      <w:keepNext/>
    </w:pPr>
    <w:rPr>
      <w:iCs w:val="0"/>
      <w:bCs/>
      <w:rFonts w:ascii="Calibri" w:cs="Calibri" w:hAnsi="Calibri"/>
      <w:sz w:val="21"/>
      <w:szCs w:val="21"/>
      <w:b/>
      <w:bCs/>
      <w:color w:val="4A5568"/>
    </w:rPr>
  </w:style>
  <w:style w:styleId="Heading7" w:type="paragraph">
    <w:name w:val="heading 7"/>
    <w:basedOn w:val="Heading6"/>
    <w:next w:val="Normal"/>
    <w:link w:val="Heading7Char"/>
    <w:uiPriority w:val="9"/>
    <w:unhideWhenUsed/>
    <w:rsid w:val="00787CD3"/>
    <w:pPr>
      <w:outlineLvl w:val="6"/>
    </w:pPr>
    <w:rPr>
      <w:sz w:val="20"/>
    </w:rPr>
  </w:style>
  <w:style w:styleId="Heading8" w:type="paragraph">
    <w:name w:val="heading 8"/>
    <w:basedOn w:val="Heading7"/>
    <w:next w:val="Normal"/>
    <w:link w:val="Heading8Char"/>
    <w:uiPriority w:val="9"/>
    <w:unhideWhenUsed/>
    <w:rsid w:val="00787CD3"/>
    <w:pPr>
      <w:outlineLvl w:val="7"/>
    </w:pPr>
    <w:rPr>
      <w:iCs/>
      <w:color w:themeColor="text1" w:themeTint="D9" w:val="262626"/>
      <w:sz w:val="18"/>
    </w:rPr>
  </w:style>
  <w:style w:styleId="Heading9" w:type="paragraph">
    <w:name w:val="heading 9"/>
    <w:basedOn w:val="Heading8"/>
    <w:next w:val="Normal"/>
    <w:link w:val="Heading9Char"/>
    <w:uiPriority w:val="9"/>
    <w:unhideWhenUsed/>
    <w:rsid w:val="00787CD3"/>
    <w:pPr>
      <w:outlineLvl w:val="8"/>
    </w:pPr>
    <w:rPr>
      <w:color w:themeColor="text1" w:themeTint="D8" w:val="272727"/>
      <w:sz w:val="16"/>
    </w:rPr>
  </w:style>
  <w:style w:default="1" w:styleId="DefaultParagraphFont" w:type="character">
    <w:name w:val="Default Paragraph Font"/>
    <w:uiPriority w:val="1"/>
    <w:semiHidden/>
    <w:unhideWhenUsed/>
  </w:style>
  <w:style w:default="1" w:styleId="TableNormal" w:type="table">
    <w:name w:val="Normal Table"/>
    <w:uiPriority w:val="99"/>
    <w:semiHidden/>
    <w:unhideWhenUsed/>
    <w:tblPr>
      <w:tblInd w:type="dxa" w:w="0"/>
      <w:tblBorders>
        <w:top w:color="0D1F3C" w:sz="6" w:val="single"/>
        <w:left w:color="0D1F3C" w:sz="6" w:val="single"/>
        <w:bottom w:color="0D1F3C" w:sz="6" w:val="single"/>
        <w:right w:color="0D1F3C" w:sz="6" w:val="single"/>
        <w:insideH w:color="CBD5E0" w:sz="4" w:val="single"/>
        <w:insideV w:color="CBD5E0" w:sz="4" w:val="single"/>
      </w:tblBorders>
      <w:tblCellMar>
        <w:top w:type="dxa" w:w="60"/>
        <w:left w:type="dxa" w:w="120"/>
        <w:bottom w:type="dxa" w:w="60"/>
        <w:right w:type="dxa" w:w="120"/>
      </w:tblCellMar>
    </w:tblPr>
    <w:tcPr/>
    <w:rPr>
      <w:rFonts w:ascii="Calibri" w:cs="Calibri" w:hAnsi="Calibri"/>
      <w:sz w:val="19"/>
      <w:szCs w:val="19"/>
      <w:color w:val="1A1A1A"/>
    </w:rPr>
  </w:style>
  <w:style w:default="1" w:styleId="NoList" w:type="numbering">
    <w:name w:val="No List"/>
    <w:uiPriority w:val="99"/>
    <w:semiHidden/>
    <w:unhideWhenUsed/>
  </w:style>
  <w:style w:styleId="Title" w:type="paragraph">
    <w:name w:val="Title"/>
    <w:next w:val="Subtitle"/>
    <w:link w:val="TitleChar"/>
    <w:uiPriority w:val="10"/>
    <w:qFormat/>
    <w:rsid w:val="00812908"/>
    <w:pPr>
      <w:spacing w:after="240" w:before="0"/>
      <w:pBdr>
        <w:bottom w:color="B8922A" w:space="4" w:sz="12" w:val="single"/>
      </w:pBdr>
      <w:keepNext/>
    </w:pPr>
    <w:rPr>
      <w:bCs/>
      <w:bCs/>
      <w:rFonts w:ascii="Garamond" w:cs="Garamond" w:hAnsi="Garamond"/>
      <w:sz w:val="56"/>
      <w:szCs w:val="56"/>
      <w:b/>
      <w:bCs/>
      <w:color w:val="0D1F3C"/>
      <w:kern w:val="28"/>
    </w:rPr>
  </w:style>
  <w:style w:customStyle="1" w:styleId="TitleChar" w:type="character">
    <w:name w:val="Title Char"/>
    <w:basedOn w:val="DefaultParagraphFont"/>
    <w:link w:val="Title"/>
    <w:uiPriority w:val="10"/>
    <w:rsid w:val="00812908"/>
    <w:rPr>
      <w:bCs/>
      <w:lang w:val="en-GB"/>
      <w:bCs/>
      <w:rFonts w:ascii="Garamond" w:cs="Garamond" w:hAnsi="Garamond"/>
      <w:sz w:val="56"/>
      <w:szCs w:val="56"/>
      <w:b/>
      <w:bCs/>
      <w:color w:val="0D1F3C"/>
      <w:kern w:val="28"/>
    </w:rPr>
  </w:style>
  <w:style w:styleId="Subtitle" w:type="paragraph">
    <w:name w:val="Subtitle"/>
    <w:basedOn w:val="Title"/>
    <w:next w:val="Normal"/>
    <w:link w:val="SubtitleChar"/>
    <w:uiPriority w:val="11"/>
    <w:qFormat/>
    <w:rsid w:val="00812908"/>
    <w:rPr>
      <w:iCs/>
      <w:rFonts w:ascii="Calibri" w:cs="Calibri" w:hAnsi="Calibri"/>
      <w:sz w:val="20"/>
      <w:szCs w:val="20"/>
      <w:i/>
      <w:iCs/>
      <w:color w:val="4A5568"/>
    </w:rPr>
    <w:pPr>
      <w:spacing w:after="360" w:before="0"/>
      <w:keepNext/>
    </w:pPr>
  </w:style>
  <w:style w:customStyle="1" w:styleId="SubtitleChar" w:type="character">
    <w:name w:val="Subtitle Char"/>
    <w:basedOn w:val="DefaultParagraphFont"/>
    <w:link w:val="Subtitle"/>
    <w:uiPriority w:val="11"/>
    <w:rsid w:val="00F80901"/>
    <w:rPr>
      <w:bCs/>
      <w:iCs/>
      <w:rFonts w:ascii="Calibri" w:cs="Calibri" w:hAnsi="Calibri"/>
      <w:sz w:val="20"/>
      <w:szCs w:val="20"/>
      <w:i/>
      <w:iCs/>
      <w:color w:val="4A5568"/>
    </w:rPr>
  </w:style>
  <w:style w:customStyle="1" w:styleId="Heading1Char" w:type="character">
    <w:name w:val="Heading 1 Char"/>
    <w:basedOn w:val="DefaultParagraphFont"/>
    <w:link w:val="Heading1"/>
    <w:uiPriority w:val="9"/>
    <w:rsid w:val="00FA3C3A"/>
    <w:rPr>
      <w:bCs/>
      <w:rFonts w:ascii="Garamond" w:cs="Garamond" w:hAnsi="Garamond"/>
      <w:sz w:val="32"/>
      <w:szCs w:val="32"/>
      <w:b/>
      <w:bCs/>
      <w:color w:val="0D1F3C"/>
    </w:rPr>
  </w:style>
  <w:style w:customStyle="1" w:styleId="Heading2Char" w:type="character">
    <w:name w:val="Heading 2 Char"/>
    <w:basedOn w:val="DefaultParagraphFont"/>
    <w:link w:val="Heading2"/>
    <w:uiPriority w:val="9"/>
    <w:rsid w:val="00FA3C3A"/>
    <w:rPr>
      <w:bCs/>
      <w:iCs/>
      <w:bCs/>
      <w:rFonts w:ascii="Calibri" w:cs="Calibri" w:hAnsi="Calibri"/>
      <w:sz w:val="26"/>
      <w:szCs w:val="26"/>
      <w:b/>
      <w:bCs/>
      <w:color w:val="1E3A5F"/>
    </w:rPr>
  </w:style>
  <w:style w:customStyle="1" w:styleId="Heading3Char" w:type="character">
    <w:name w:val="Heading 3 Char"/>
    <w:basedOn w:val="DefaultParagraphFont"/>
    <w:link w:val="Heading3"/>
    <w:uiPriority w:val="9"/>
    <w:rsid w:val="00FA3C3A"/>
    <w:rPr>
      <w:bCs/>
      <w:iCs/>
      <w:rFonts w:ascii="Calibri" w:cs="Calibri" w:hAnsi="Calibri"/>
      <w:sz w:val="22"/>
      <w:szCs w:val="22"/>
      <w:b/>
      <w:bCs/>
      <w:i/>
      <w:iCs/>
      <w:color w:val="B8922A"/>
    </w:rPr>
  </w:style>
  <w:style w:customStyle="1" w:styleId="Heading4Char" w:type="character">
    <w:name w:val="Heading 4 Char"/>
    <w:basedOn w:val="DefaultParagraphFont"/>
    <w:link w:val="Heading4"/>
    <w:uiPriority w:val="9"/>
    <w:rsid w:val="00787CD3"/>
    <w:rPr>
      <w:rFonts w:ascii="Sitka Text" w:cstheme="majorBidi" w:eastAsiaTheme="majorEastAsia" w:hAnsi="Sitka Text"/>
      <w:b/>
      <w:i/>
      <w:iCs/>
      <w:color w:themeColor="accent1" w:themeShade="BF" w:val="0F4761"/>
      <w:szCs w:val="28"/>
    </w:rPr>
  </w:style>
  <w:style w:customStyle="1" w:styleId="Heading5Char" w:type="character">
    <w:name w:val="Heading 5 Char"/>
    <w:basedOn w:val="DefaultParagraphFont"/>
    <w:link w:val="Heading5"/>
    <w:uiPriority w:val="9"/>
    <w:rsid w:val="00787CD3"/>
    <w:rPr>
      <w:rFonts w:ascii="Sitka Text" w:cstheme="majorBidi" w:eastAsiaTheme="majorEastAsia" w:hAnsi="Sitka Text"/>
      <w:i/>
      <w:iCs/>
      <w:color w:themeColor="accent1" w:themeShade="BF" w:val="0F4761"/>
      <w:szCs w:val="28"/>
    </w:rPr>
  </w:style>
  <w:style w:customStyle="1" w:styleId="Heading6Char" w:type="character">
    <w:name w:val="Heading 6 Char"/>
    <w:basedOn w:val="DefaultParagraphFont"/>
    <w:link w:val="Heading6"/>
    <w:uiPriority w:val="9"/>
    <w:rsid w:val="00787CD3"/>
    <w:rPr>
      <w:rFonts w:ascii="Sitka Text" w:cstheme="majorBidi" w:eastAsiaTheme="majorEastAsia" w:hAnsi="Sitka Text"/>
      <w:color w:themeColor="text1" w:themeTint="A6" w:val="595959"/>
      <w:szCs w:val="28"/>
    </w:rPr>
  </w:style>
  <w:style w:customStyle="1" w:styleId="Heading7Char" w:type="character">
    <w:name w:val="Heading 7 Char"/>
    <w:basedOn w:val="DefaultParagraphFont"/>
    <w:link w:val="Heading7"/>
    <w:uiPriority w:val="9"/>
    <w:rsid w:val="00787CD3"/>
    <w:rPr>
      <w:rFonts w:ascii="Sitka Text" w:cstheme="majorBidi" w:eastAsiaTheme="majorEastAsia" w:hAnsi="Sitka Text"/>
      <w:i/>
      <w:color w:themeColor="text1" w:themeTint="A6" w:val="595959"/>
      <w:sz w:val="20"/>
      <w:szCs w:val="28"/>
    </w:rPr>
  </w:style>
  <w:style w:customStyle="1" w:styleId="Heading8Char" w:type="character">
    <w:name w:val="Heading 8 Char"/>
    <w:basedOn w:val="DefaultParagraphFont"/>
    <w:link w:val="Heading8"/>
    <w:uiPriority w:val="9"/>
    <w:rsid w:val="00787CD3"/>
    <w:rPr>
      <w:rFonts w:ascii="Sitka Text" w:cstheme="majorBidi" w:eastAsiaTheme="majorEastAsia" w:hAnsi="Sitka Text"/>
      <w:i/>
      <w:iCs/>
      <w:color w:themeColor="text1" w:themeTint="D9" w:val="262626"/>
      <w:sz w:val="18"/>
      <w:szCs w:val="28"/>
    </w:rPr>
  </w:style>
  <w:style w:customStyle="1" w:styleId="Heading9Char" w:type="character">
    <w:name w:val="Heading 9 Char"/>
    <w:basedOn w:val="DefaultParagraphFont"/>
    <w:link w:val="Heading9"/>
    <w:uiPriority w:val="9"/>
    <w:rsid w:val="00787CD3"/>
    <w:rPr>
      <w:rFonts w:ascii="Sitka Text" w:cstheme="majorBidi" w:eastAsiaTheme="majorEastAsia" w:hAnsi="Sitka Text"/>
      <w:i/>
      <w:iCs/>
      <w:color w:themeColor="text1" w:themeTint="D8" w:val="272727"/>
      <w:sz w:val="16"/>
      <w:szCs w:val="28"/>
    </w:rPr>
  </w:style>
  <w:style w:styleId="Quote" w:type="paragraph">
    <w:name w:val="Quote"/>
    <w:basedOn w:val="Normal"/>
    <w:next w:val="Normal"/>
    <w:link w:val="QuoteChar"/>
    <w:uiPriority w:val="29"/>
    <w:qFormat/>
    <w:rsid w:val="00F80901"/>
    <w:pPr>
      <w:jc w:val="center"/>
      <w:ind w:left="720" w:right="360"/>
      <w:spacing w:after="120" w:before="120"/>
      <w:pBdr>
        <w:left w:color="B8922A" w:space="12" w:sz="24" w:val="single"/>
      </w:pBdr>
    </w:pPr>
    <w:rPr>
      <w:iCs/>
      <w:iCs/>
      <w:rFonts w:ascii="Garamond" w:cs="Garamond" w:hAnsi="Garamond"/>
      <w:sz w:val="21"/>
      <w:szCs w:val="21"/>
      <w:i/>
      <w:iCs/>
      <w:color w:val="4A5568"/>
    </w:rPr>
  </w:style>
  <w:style w:customStyle="1" w:styleId="QuoteChar" w:type="character">
    <w:name w:val="Quote Char"/>
    <w:basedOn w:val="DefaultParagraphFont"/>
    <w:link w:val="Quote"/>
    <w:uiPriority w:val="29"/>
    <w:rsid w:val="00F80901"/>
    <w:rPr>
      <w:rFonts w:ascii="Times New Roman" w:cs="Times New Roman" w:hAnsi="Times New Roman"/>
      <w:i/>
      <w:iCs/>
      <w:color w:themeColor="text1" w:themeTint="BF" w:val="404040"/>
    </w:rPr>
  </w:style>
  <w:style w:styleId="IntenseQuote" w:type="paragraph">
    <w:name w:val="Intense Quote"/>
    <w:basedOn w:val="Normal"/>
    <w:next w:val="Normal"/>
    <w:link w:val="IntenseQuoteChar"/>
    <w:uiPriority w:val="30"/>
    <w:qFormat/>
    <w:rsid w:val="00F80901"/>
    <w:pPr>
      <w:jc w:val="center"/>
      <w:ind w:left="720" w:right="360"/>
      <w:spacing w:after="120" w:before="120"/>
      <w:pBdr>
        <w:left w:color="0D1F3C" w:space="12" w:sz="36" w:val="single"/>
      </w:pBdr>
    </w:pPr>
    <w:rPr>
      <w:iCs/>
      <w:bCs/>
      <w:iCs/>
      <w:rFonts w:ascii="Garamond" w:cs="Garamond" w:hAnsi="Garamond"/>
      <w:sz w:val="21"/>
      <w:szCs w:val="21"/>
      <w:b/>
      <w:bCs/>
      <w:i/>
      <w:iCs/>
      <w:color w:val="0D1F3C"/>
    </w:rPr>
  </w:style>
  <w:style w:customStyle="1" w:styleId="IntenseQuoteChar" w:type="character">
    <w:name w:val="Intense Quote Char"/>
    <w:basedOn w:val="DefaultParagraphFont"/>
    <w:link w:val="IntenseQuote"/>
    <w:uiPriority w:val="30"/>
    <w:rsid w:val="00F80901"/>
    <w:rPr>
      <w:rFonts w:ascii="Times New Roman" w:cs="Times New Roman" w:hAnsi="Times New Roman"/>
      <w:i/>
      <w:iCs/>
      <w:color w:themeColor="accent1" w:themeShade="BF" w:val="0F476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Serif Notes.dotx</Template>
  <TotalTime>50</TotalTime>
  <Pages>2</Pages>
  <Words>472</Words>
  <Characters>2691</Characters>
  <Application>Microsoft Office Word</Application>
  <DocSecurity>0</DocSecurity>
  <Lines>22</Lines>
  <Paragraphs>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3157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2026-05-28T18:38:41Z</dcterms:created>
  <dcterms:modified xsi:type="dcterms:W3CDTF">2026-05-28T18:38:41Z</dcterms:modified>
</cp:coreProperties>
</file>

<file path=docProps/custom.xml><?xml version="1.0" encoding="utf-8"?>
<Properties xmlns="http://schemas.openxmlformats.org/officeDocument/2006/custom-properties" xmlns:vt="http://schemas.openxmlformats.org/officeDocument/2006/docPropsVTypes"/>
</file>