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76"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Start w:id="9"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bookmarkEnd w:id="9"/>
    <w:bookmarkStart w:id="10"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10"/>
    <w:bookmarkStart w:id="11"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11"/>
    <w:bookmarkStart w:id="12"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12"/>
    <w:bookmarkStart w:id="13"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тюркских текстов в арабской графике.</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3"/>
    <w:bookmarkStart w:id="14"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14"/>
    <w:bookmarkStart w:id="15"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5"/>
    <w:bookmarkStart w:id="16"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16"/>
    <w:bookmarkStart w:id="17"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17"/>
    <w:bookmarkStart w:id="18"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18"/>
    <w:bookmarkStart w:id="26" w:name="X0ceba565ddc4689162e5800a39ee266fa2dc29a"/>
    <w:p>
      <w:pPr>
        <w:pStyle w:val="Heading2"/>
      </w:pPr>
      <w:r>
        <w:t xml:space="preserve">2. Обзор предметной области и связанных работ</w:t>
      </w:r>
    </w:p>
    <w:bookmarkStart w:id="19"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19"/>
    <w:bookmarkStart w:id="20"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20"/>
    <w:bookmarkStart w:id="21"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21"/>
    <w:bookmarkStart w:id="22"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22"/>
    <w:bookmarkStart w:id="23"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не на искусственно испорченных строках, а на парах реального OCR/HTR-вывода и вручную проверенного текста. Для исторических и низкоресурсных материалов такой вариант часто недоступен: сначала приходится собрать источник, получить распознавание, выровнять строки и только потом проверять исправления. Поэтому синтетические данные в этой работе используются не как замена реального OCR, а как первый контролируемый уровень эксперимента.</w:t>
      </w:r>
    </w:p>
    <w:p>
      <w:pPr>
        <w:pStyle w:val="BodyText"/>
      </w:pPr>
      <w:r>
        <w:t xml:space="preserve">В литературе такой ход встречается в разных низкоресурсных постановках. Например, работы по OCR исторических текстов на иврите показывают, что искусственно построенные пары могут быть полезны, когда ручной разметки мало (Suissa et al., 2023). Naiman et al. (2023) также используют крупные синтетические наборы для посткоррекции исторических научных статей и оценивают эффект по CER и WER. Для моей работы из этого следует не то, что синтетика «достаточна», а более узкий вывод: на ней можно проверить код, метрики, разбиение и базовое сравнение методов до появления настоящих OCR-пар.</w:t>
      </w:r>
    </w:p>
    <w:p>
      <w:pPr>
        <w:pStyle w:val="BodyText"/>
      </w:pPr>
      <w:r>
        <w:t xml:space="preserve">Отдельный вопрос — как именно создавать ошибки. Если шум слишком общий, модель учится исправлять не ошибки OCR, а ошибки выбранного генератора. Guan and Greene (2024) специально обсуждают роль объёма данных, расширения выборки и способов генерации синтетических ошибок; среди важных факторов выделяются сходство глифов и низкоресурсный режим. Это особенно важно для арабской графики, где многие ошибки связаны не с произвольной заменой символов, а с близостью начертаний, точками, формами букв и сегментацией строки.</w:t>
      </w:r>
    </w:p>
    <w:p>
      <w:pPr>
        <w:pStyle w:val="BodyText"/>
      </w:pPr>
      <w:r>
        <w:t xml:space="preserve">RoundTripOCR показывает другой полезный ракурс: низкоресурсную посткоррекцию можно рассматривать как преобразование искажённого текста в эталонный по аналогии с переводом (Kashid &amp; Bhattacharyya, 2024). В моей постановке эта идея используется на уровне строки: модель получает искажённый арабографичный фрагмент и должна восстановить эталонную запись. При этом перенос на настоящий OCR проверяется отдельно, потому что синтетический набор не содержит качества скана, шрифта, структуры страницы и ошибок Tesseract.</w:t>
      </w:r>
    </w:p>
    <w:p>
      <w:pPr>
        <w:pStyle w:val="BodyText"/>
      </w:pPr>
      <w:r>
        <w:t xml:space="preserve">Следовательно, синтетический набор в этой работе — это диагностический стенд, а не финальный бенчмарк. Он нужен, чтобы увидеть, превосходит ли ByT5-small простые базовые методы в контролируемой среде. Постраничная проверка на Tesseract затем показывает границу этого стенда: для практического применения нужно строить ошибки не только по заранее заданным правилам, но и по реальным OCR-выводам и эмпирическим путаницам арабографичных графем.</w:t>
      </w:r>
    </w:p>
    <w:bookmarkEnd w:id="23"/>
    <w:bookmarkStart w:id="24"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24"/>
    <w:bookmarkStart w:id="25"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Рассмотренные работы задают рамку, в которой находится эта курсовая. С одной стороны, OCR исторических документов требует полного процесса: подготовки изображения, сегментации, распознавания, эталонной разметки и ручной проверки. С другой стороны, моя работа сознательно выносит за скобки распознавание изображения и проверяет только следующий слой — текстовую посткоррекцию уже полученного OCR-вывода.</w:t>
      </w:r>
    </w:p>
    <w:p>
      <w:pPr>
        <w:pStyle w:val="BodyText"/>
      </w:pPr>
      <w:r>
        <w:t xml:space="preserve">Из обзора также следует, почему для арабографичного материала нельзя ограничиться универсальной схемой «зашумить строку и обучить модель». В арабской графике важны форма буквы в слове, точки, близость начертаний, качество печати и ошибки разбиения строки. Поэтому синтетический шум в работе трактуется как приближение, а не как модель всех реальных ошибок. Именно поэтому в эксперимент добавлена отдельная проверка на постраничном OCR Tesseract.</w:t>
      </w:r>
    </w:p>
    <w:p>
      <w:pPr>
        <w:pStyle w:val="BodyText"/>
      </w:pPr>
      <w:r>
        <w:t xml:space="preserve">Вклад работы находится на этом промежуточном уровне. Она не предлагает новую OCR/HTR-систему и не претендует на лучший результат в распознавании исторических документов. Более точная формулировка вклада такая: построен воспроизводимый контур для проверки посткоррекции тюркского текста в арабской графике; реализованы простые методы сравнения; обучена ByT5-small; отдельно показано, что успех на синтетических ошибках не означает устойчивого переноса на реальный OCR.</w:t>
      </w:r>
    </w:p>
    <w:p>
      <w:pPr>
        <w:pStyle w:val="BodyText"/>
      </w:pPr>
      <w:r>
        <w:t xml:space="preserve">Для дальнейшего исследования наиболее важен именно этот отрицательный результат. На синтетическом наборе модель улучшает метрики относительно базовых методов, но при переходе к реальному OCR эффект становится нестабильным. Это задаёт следующую задачу магистерской работы: собрать выровненные пары «OCR-вывод — эталон», разнести страницы по выборкам без утечки и обучать посткоррекцию уже на настоящих ошибках распознавания.</w:t>
      </w:r>
    </w:p>
    <w:bookmarkEnd w:id="25"/>
    <w:bookmarkEnd w:id="26"/>
    <w:bookmarkStart w:id="40" w:name="данные-и-построение-корпуса"/>
    <w:p>
      <w:pPr>
        <w:pStyle w:val="Heading2"/>
      </w:pPr>
      <w:r>
        <w:t xml:space="preserve">3. Данные и построение корпуса</w:t>
      </w:r>
    </w:p>
    <w:bookmarkStart w:id="27"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7"/>
    <w:bookmarkStart w:id="28"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28"/>
    <w:bookmarkStart w:id="29"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29"/>
    <w:bookmarkStart w:id="30"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Эталонные строки искажаются контролируемым генератором синтетических ошибок, после чего формируются пары «искажённая строка — эталонная строка».</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30"/>
    <w:bookmarkStart w:id="31"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1"/>
    <w:bookmarkStart w:id="32"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2"/>
    <w:bookmarkStart w:id="33" w:name="примеры-пар-искажённая-строка-эталон"/>
    <w:p>
      <w:pPr>
        <w:pStyle w:val="Heading3"/>
      </w:pPr>
      <w:r>
        <w:t xml:space="preserve">3.4.3 Примеры пар «искажённая строка — эталон»</w:t>
      </w:r>
    </w:p>
    <w:p>
      <w:pPr>
        <w:pStyle w:val="FirstParagraph"/>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3"/>
    <w:bookmarkStart w:id="34"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34"/>
    <w:bookmarkStart w:id="35"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5"/>
    <w:bookmarkStart w:id="36" w:name="Xd08570dcee77ed6951cf64ca8f19d56e666eec0"/>
    <w:p>
      <w:pPr>
        <w:pStyle w:val="Heading3"/>
      </w:pPr>
      <w:r>
        <w:t xml:space="preserve">3.6 Разбиение на обучающую, валидационную и тестовую выборки</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Выборка</w:t>
            </w:r>
          </w:p>
        </w:tc>
        <w:tc>
          <w:tcPr/>
          <w:p>
            <w:pPr>
              <w:pStyle w:val="Compact"/>
              <w:jc w:val="right"/>
            </w:pPr>
            <w:r>
              <w:t xml:space="preserve">Строки</w:t>
            </w:r>
          </w:p>
        </w:tc>
        <w:tc>
          <w:tcPr/>
          <w:p>
            <w:pPr>
              <w:pStyle w:val="Compact"/>
              <w:jc w:val="right"/>
            </w:pPr>
            <w:r>
              <w:t xml:space="preserve">Уникальные эталонные строки</w:t>
            </w:r>
          </w:p>
        </w:tc>
      </w:tr>
      <w:tr>
        <w:tc>
          <w:tcPr/>
          <w:p>
            <w:pPr>
              <w:pStyle w:val="Compact"/>
            </w:pPr>
            <w:r>
              <w:t xml:space="preserve">Обучающая</w:t>
            </w:r>
          </w:p>
        </w:tc>
        <w:tc>
          <w:tcPr/>
          <w:p>
            <w:pPr>
              <w:pStyle w:val="Compact"/>
              <w:jc w:val="right"/>
            </w:pPr>
            <w:r>
              <w:t xml:space="preserve">6400</w:t>
            </w:r>
          </w:p>
        </w:tc>
        <w:tc>
          <w:tcPr/>
          <w:p>
            <w:pPr>
              <w:pStyle w:val="Compact"/>
              <w:jc w:val="right"/>
            </w:pPr>
            <w:r>
              <w:t xml:space="preserve">320</w:t>
            </w:r>
          </w:p>
        </w:tc>
      </w:tr>
      <w:tr>
        <w:tc>
          <w:tcPr/>
          <w:p>
            <w:pPr>
              <w:pStyle w:val="Compact"/>
            </w:pPr>
            <w:r>
              <w:t xml:space="preserve">Валидационная</w:t>
            </w:r>
          </w:p>
        </w:tc>
        <w:tc>
          <w:tcPr/>
          <w:p>
            <w:pPr>
              <w:pStyle w:val="Compact"/>
              <w:jc w:val="right"/>
            </w:pPr>
            <w:r>
              <w:t xml:space="preserve">800</w:t>
            </w:r>
          </w:p>
        </w:tc>
        <w:tc>
          <w:tcPr/>
          <w:p>
            <w:pPr>
              <w:pStyle w:val="Compact"/>
              <w:jc w:val="right"/>
            </w:pPr>
            <w:r>
              <w:t xml:space="preserve">40</w:t>
            </w:r>
          </w:p>
        </w:tc>
      </w:tr>
      <w:tr>
        <w:tc>
          <w:tcPr/>
          <w:p>
            <w:pPr>
              <w:pStyle w:val="Compact"/>
            </w:pPr>
            <w:r>
              <w:t xml:space="preserve">Тестовая</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6"/>
    <w:bookmarkStart w:id="37"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7"/>
    <w:bookmarkStart w:id="38"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38"/>
    <w:bookmarkStart w:id="39" w:name="выводы-по-разделу"/>
    <w:p>
      <w:pPr>
        <w:pStyle w:val="Heading3"/>
      </w:pPr>
      <w:r>
        <w:t xml:space="preserve">3.9 Выводы по разделу</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39"/>
    <w:bookmarkEnd w:id="40"/>
    <w:bookmarkStart w:id="51" w:name="методология-эксперимента"/>
    <w:p>
      <w:pPr>
        <w:pStyle w:val="Heading2"/>
      </w:pPr>
      <w:r>
        <w:t xml:space="preserve">4. Методология эксперимента</w:t>
      </w:r>
    </w:p>
    <w:bookmarkStart w:id="41"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41"/>
    <w:bookmarkStart w:id="42" w:name="базовые-методы"/>
    <w:p>
      <w:pPr>
        <w:pStyle w:val="Heading3"/>
      </w:pPr>
      <w:r>
        <w:t xml:space="preserve">4.2 Базовые методы</w:t>
      </w:r>
    </w:p>
    <w:p>
      <w:pPr>
        <w:pStyle w:val="FirstParagraph"/>
      </w:pPr>
      <w:r>
        <w:t xml:space="preserve">В эксперименте используются три базовых метода. Они нужны не для формального заполнения таблицы, а для контроля того, что именно даёт нейросетевая модель.</w:t>
      </w:r>
    </w:p>
    <w:p>
      <w:pPr>
        <w:pStyle w:val="BodyText"/>
      </w:pPr>
      <w:r>
        <w:t xml:space="preserve">Первый вариант — метод без исправления. Он возвращает входную строку без изменений. Такой метод фиксирует исходный уровень качества: если модель посткоррекции не превосходит его хотя бы по CER или WER, то она не исправляет OCR-вывод, а добавляет новые ошибки.</w:t>
      </w:r>
    </w:p>
    <w:p>
      <w:pPr>
        <w:pStyle w:val="BodyText"/>
      </w:pPr>
      <w:r>
        <w:t xml:space="preserve">Второй вариант — нормализатор на правилах. Он применяет простые символьные преобразования к арабографичному тексту. Я не рассматриваю его как сильную модель; его роль диагностическая. Он проверяет, можно ли улучшить текст простыми правилами до обучения нейросетевой модели. Для исторического материала это особенно рискованная операция: нормализация может убрать технический шум, но может и стереть орфографические различия, важные для источника.</w:t>
      </w:r>
    </w:p>
    <w:p>
      <w:pPr>
        <w:pStyle w:val="BodyText"/>
      </w:pPr>
      <w:r>
        <w:t xml:space="preserve">Третий вариант — символьный метод на основе ошибок обучающей выборки. Он строится по парам «искажённая строка — эталонная строка»: строки выравниваются алгоритмом Левенштейна, после чего из обучающей выборки извлекаются частотные соответствия между ошибочными и эталонными символами. Замена принимается только тогда, когда у неё есть достаточная поддержка и явное доминирование одного целевого символа.</w:t>
      </w:r>
    </w:p>
    <w:p>
      <w:pPr>
        <w:pStyle w:val="BodyText"/>
      </w:pPr>
      <w:r>
        <w:t xml:space="preserve">Такой набор базовых методов позволяет разделить несколько эффектов. Метод без исправления показывает исходную сложность задачи. Нормализатор проверяет безопасность ручных правил. Символьный метод показывает, насколько далеко можно продвинуться без контекстной нейросетевой модели. На этом фоне результат ByT5-small интерпретируется осторожнее: улучшение должно быть не просто численным, а устойчивым относительно простых альтернатив.</w:t>
      </w:r>
    </w:p>
    <w:bookmarkEnd w:id="42"/>
    <w:bookmarkStart w:id="43"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3"/>
    <w:bookmarkStart w:id="44"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4"/>
    <w:bookmarkStart w:id="45"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45"/>
    <w:bookmarkStart w:id="46"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6"/>
    <w:bookmarkStart w:id="47" w:name="процедура-оценки"/>
    <w:p>
      <w:pPr>
        <w:pStyle w:val="Heading3"/>
      </w:pPr>
      <w:r>
        <w:t xml:space="preserve">4.7 Процедура оценки</w:t>
      </w:r>
    </w:p>
    <w:p>
      <w:pPr>
        <w:pStyle w:val="FirstParagraph"/>
      </w:pPr>
      <w:r>
        <w:t xml:space="preserve">Оценка проводится на тестовой выборке, которая не пересекается с обучающей и валидационной частями по исходным строкам. В тесте 800 искажённых вариантов, полученных из 40 уникальных эталонных строк. Это важно для интерпретации результата: модель проверяется не на новых вариантах уже знакомых строк, а на строках, которые не встречались при обучении.</w:t>
      </w:r>
    </w:p>
    <w:p>
      <w:pPr>
        <w:pStyle w:val="BodyText"/>
      </w:pPr>
      <w:r>
        <w:t xml:space="preserve">Для каждого метода сохраняется таблица с входной строкой, эталоном и предсказанием. Затем одна и та же процедура считает CER, WER, NoSpaceCER и ExactMatch. Я специально использую единую процедуру оценки для всех методов, чтобы различия в метриках зависели от самих методов, а не от разных скриптов или разных вариантов предобработки.</w:t>
      </w:r>
    </w:p>
    <w:p>
      <w:pPr>
        <w:pStyle w:val="BodyText"/>
      </w:pPr>
      <w:r>
        <w:t xml:space="preserve">В сравнении участвуют четыре варианта: метод без исправления, нормализатор на правилах, символьный метод на основе ошибок обучающей выборки и ByT5-small. Такая схема нужна, чтобы отделить несколько эффектов: сохранение исходного шума, ручную нормализацию, локальные символьные замены и контекстную нейросетевую посткоррекцию. Итоговая таблица метрик сохраняется в</w:t>
      </w:r>
      <w:r>
        <w:t xml:space="preserve"> </w:t>
      </w:r>
      <w:r>
        <w:rPr>
          <w:rStyle w:val="VerbatimChar"/>
        </w:rPr>
        <w:t xml:space="preserve">outputs/postcorrection/final_metrics.csv</w:t>
      </w:r>
      <w:r>
        <w:t xml:space="preserve">.</w:t>
      </w:r>
    </w:p>
    <w:bookmarkEnd w:id="47"/>
    <w:bookmarkStart w:id="48" w:name="анализ-ошибок"/>
    <w:p>
      <w:pPr>
        <w:pStyle w:val="Heading3"/>
      </w:pPr>
      <w:r>
        <w:t xml:space="preserve">4.8 Анализ ошибок</w:t>
      </w:r>
    </w:p>
    <w:p>
      <w:pPr>
        <w:pStyle w:val="FirstParagraph"/>
      </w:pPr>
      <w:r>
        <w:t xml:space="preserve">Помимо средних метрик я отдельно проверяю поведение модели на отдельных строках. Для каждого тестового примера сравниваются две ситуации: исходная искажённая строка относительно эталона и предсказание модели относительно того же эталона. После этого пример относится к одной из трёх групп: улучшился, остался без изменений или ухудшился.</w:t>
      </w:r>
    </w:p>
    <w:p>
      <w:pPr>
        <w:pStyle w:val="BodyText"/>
      </w:pPr>
      <w:r>
        <w:t xml:space="preserve">Такой разбор нужен потому, что среднее значение CER или WER само по себе может быть обманчивым. Например, модель может сильно улучшить часть строк, но одновременно испортить другие. В таком случае средняя метрика покажет общий выигрыш, но для практической OCR-посткоррекции это всё равно опасно: пользователь получит не только исправления, но и новые ошибки.</w:t>
      </w:r>
    </w:p>
    <w:p>
      <w:pPr>
        <w:pStyle w:val="BodyText"/>
      </w:pPr>
      <w:r>
        <w:t xml:space="preserve">Отдельно сохраняются лучшие и худшие случаи. По ним видно, какие типы искажений модель исправляет уверенно, а где она начинает чрезмерно менять строку или сглаживать историческое написание. Этот разбор выполняется скриптом</w:t>
      </w:r>
      <w:r>
        <w:t xml:space="preserve"> </w:t>
      </w:r>
      <w:r>
        <w:rPr>
          <w:rStyle w:val="VerbatimChar"/>
        </w:rPr>
        <w:t xml:space="preserve">scripts/postcorrection_error_analysis.py</w:t>
      </w:r>
      <w:r>
        <w:t xml:space="preserve">; он используется не вместо метрик, а как дополнительная проверка того, насколько численный выигрыш выглядит надёжным на уровне конкретных строк.</w:t>
      </w:r>
    </w:p>
    <w:bookmarkEnd w:id="48"/>
    <w:bookmarkStart w:id="49"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49"/>
    <w:bookmarkStart w:id="50"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50"/>
    <w:bookmarkEnd w:id="51"/>
    <w:bookmarkStart w:id="67" w:name="результаты-экспериментов-и-анализ-ошибок"/>
    <w:p>
      <w:pPr>
        <w:pStyle w:val="Heading2"/>
      </w:pPr>
      <w:r>
        <w:t xml:space="preserve">5. Результаты экспериментов и анализ ошибок</w:t>
      </w:r>
    </w:p>
    <w:bookmarkStart w:id="52"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2"/>
    <w:bookmarkStart w:id="53" w:name="итоговые-метрики"/>
    <w:p>
      <w:pPr>
        <w:pStyle w:val="Heading3"/>
      </w:pPr>
      <w:r>
        <w:t xml:space="preserve">5.2 Итоговые метрики</w:t>
      </w:r>
    </w:p>
    <w:p>
      <w:pPr>
        <w:pStyle w:val="FirstParagraph"/>
      </w:pPr>
      <w:r>
        <w:t xml:space="preserve">Итоговые результаты представлены в таблице. Для компактности</w:t>
      </w:r>
      <w:r>
        <w:t xml:space="preserve"> </w:t>
      </w:r>
      <w:r>
        <w:rPr>
          <w:rStyle w:val="VerbatimChar"/>
        </w:rPr>
        <w:t xml:space="preserve">EM</w:t>
      </w:r>
      <w:r>
        <w:t xml:space="preserve"> </w:t>
      </w:r>
      <w:r>
        <w:t xml:space="preserve">обозначает ExactMatch.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EM</w:t>
            </w:r>
          </w:p>
        </w:tc>
        <w:tc>
          <w:tcPr/>
          <w:p>
            <w:pPr>
              <w:pStyle w:val="Compact"/>
              <w:jc w:val="right"/>
            </w:pPr>
            <w:r>
              <w:t xml:space="preserve">N</w:t>
            </w:r>
          </w:p>
        </w:tc>
      </w:tr>
      <w:tr>
        <w:tc>
          <w:tcPr/>
          <w:p>
            <w:pPr>
              <w:pStyle w:val="Compact"/>
            </w:pPr>
            <w:r>
              <w:t xml:space="preserve">Без испр.</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Правила</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ByT5-512</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3"/>
    <w:bookmarkStart w:id="54"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нужен как нижняя граница качества. Он не делает никакой посткоррекции и просто возвращает входную искажённую строку. Поэтому сравнение с ним отвечает на самый простой вопрос: добавляет ли модель пользу или только создаёт новые ошибки.</w:t>
      </w:r>
    </w:p>
    <w:p>
      <w:pPr>
        <w:pStyle w:val="BodyText"/>
      </w:pPr>
      <w:r>
        <w:t xml:space="preserve">ByT5-small 512 показывает результат лучше этого уровня по основным метрикам: CER снижается с 0.086005 до 0.079913, WER — с 0.519006 до 0.368540, а ExactMatch растёт с 0.001250 до 0.003750. По CER выигрыш небольшой: абсолютное снижение составляет 0.006092. Это означает, что модель действительно приближает строки к эталону, но не решает задачу полностью. По WER эффект заметнее: разница составляет примерно 0.150466.</w:t>
      </w:r>
    </w:p>
    <w:p>
      <w:pPr>
        <w:pStyle w:val="BodyText"/>
      </w:pPr>
      <w:r>
        <w:t xml:space="preserve">Я трактую этот результат как положительный сигнал для пилотного эксперимента, а не как доказательство готовности модели к практическому OCR. На синтетическом наборе ByT5-small полезна, но для вывода о реальных сканах нужна проверка на настоящих OCR-ошибках и на разбиении по страницам или источникам.</w:t>
      </w:r>
    </w:p>
    <w:bookmarkEnd w:id="54"/>
    <w:bookmarkStart w:id="55" w:name="нормализатор-на-правилах"/>
    <w:p>
      <w:pPr>
        <w:pStyle w:val="Heading3"/>
      </w:pPr>
      <w:r>
        <w:t xml:space="preserve">5.4 Нормализатор на правилах</w:t>
      </w:r>
    </w:p>
    <w:p>
      <w:pPr>
        <w:pStyle w:val="FirstParagraph"/>
      </w:pPr>
      <w:r>
        <w:t xml:space="preserve">Нормализатор на правилах оказался не улучшением, а отрицательным контрольным примером. По сравнению с методом без исправления CER растёт с 0.086005 до 0.151932, а WER — с 0.519006 до 0.684408. ExactMatch при этом становится нулевым.</w:t>
      </w:r>
    </w:p>
    <w:p>
      <w:pPr>
        <w:pStyle w:val="BodyText"/>
      </w:pPr>
      <w:r>
        <w:t xml:space="preserve">Для этой работы такой результат важен методологически. Он показывает, что простые символьные правила нельзя считать безопасной предобработкой для исторического арабографичного текста. Правило может выглядеть разумным как техническая нормализация, но в историческом материале оно легко меняет орфографически значимые формы. Поэтому нормализатор в дальнейшем не следует использовать как обязательный этап без отдельной проверки на реальных данных.</w:t>
      </w:r>
    </w:p>
    <w:bookmarkEnd w:id="55"/>
    <w:bookmarkStart w:id="56"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даёт небольшой выигрыш относительно метода без исправления: CER снижается с 0.086005 до 0.082520, WER — с 0.519006 до 0.506189, а ExactMatch остаётся на уровне 0.001250. Это показывает, что часть ошибок действительно можно описать устойчивыми локальными заменами символов.</w:t>
      </w:r>
    </w:p>
    <w:p>
      <w:pPr>
        <w:pStyle w:val="BodyText"/>
      </w:pPr>
      <w:r>
        <w:t xml:space="preserve">Однако этот метод почти не меняет качество на уровне слов. Он умеет исправлять отдельные повторяющиеся путаницы, но не восстанавливает пропущенные элементы из контекста и не работает с более длинной структурой строки. Поэтому его результат полезен как промежуточная точка сравнения: он лучше ручной нормализации, но заметно слабее ByT5-small по WER.</w:t>
      </w:r>
    </w:p>
    <w:bookmarkEnd w:id="56"/>
    <w:bookmarkStart w:id="57" w:name="интерпретация-снижения-wer"/>
    <w:p>
      <w:pPr>
        <w:pStyle w:val="Heading3"/>
      </w:pPr>
      <w:r>
        <w:t xml:space="preserve">5.6 Интерпретация снижения WER</w:t>
      </w:r>
    </w:p>
    <w:p>
      <w:pPr>
        <w:pStyle w:val="FirstParagraph"/>
      </w:pPr>
      <w:r>
        <w:t xml:space="preserve">Самый заметный эффект ByT5-small — снижение WER с 0.519006 до 0.368540. На первый взгляд это выглядит как сильное улучшение, но в текущей постановке его нужно читать осторожно.</w:t>
      </w:r>
    </w:p>
    <w:p>
      <w:pPr>
        <w:pStyle w:val="BodyText"/>
      </w:pPr>
      <w:r>
        <w:t xml:space="preserve">Причина в устройстве синтетического шума. Генератор вносит не только замены символов, но и ошибки пробелов: вставки пробелов внутри слов и удаления пробелов между токенами. WER чувствителен к таким ошибкам сильнее, чем CER, потому что изменение границы слова может изменить всю токенизацию строки. Если модель исправляет именно такие синтетические нарушения, WER падает заметно быстрее, чем посимвольная ошибка.</w:t>
      </w:r>
    </w:p>
    <w:p>
      <w:pPr>
        <w:pStyle w:val="BodyText"/>
      </w:pPr>
      <w:r>
        <w:t xml:space="preserve">Поэтому в работе CER и WER интерпретируются вместе. CER показывает умеренный выигрыш на уровне символов, а WER показывает, что модель хорошо работает с частью ошибок границ слов в синтетическом наборе. Но этот результат сам по себе не доказывает, что такой же выигрыш появится на реальном OCR-выводе.</w:t>
      </w:r>
    </w:p>
    <w:bookmarkEnd w:id="57"/>
    <w:bookmarkStart w:id="58" w:name="Xa057a50b3d887cb833a81c68c8cf3288ce88b0e"/>
    <w:p>
      <w:pPr>
        <w:pStyle w:val="Heading3"/>
      </w:pPr>
      <w:r>
        <w:t xml:space="preserve">5.7 Влияние максимальной длины последовательности</w:t>
      </w:r>
    </w:p>
    <w:p>
      <w:pPr>
        <w:pStyle w:val="FirstParagraph"/>
      </w:pPr>
      <w:r>
        <w:t xml:space="preserve">Для ByT5-small важна максимальная длина последовательности, потому что модель работает с байтовым представлением. Один видимый символ арабской графики может занимать несколько байтов, поэтому слишком короткая длина входа способна обрезать полезный контекст.</w:t>
      </w:r>
    </w:p>
    <w:p>
      <w:pPr>
        <w:pStyle w:val="BodyText"/>
      </w:pPr>
      <w:r>
        <w:t xml:space="preserve">В текущем эксперименте конфигурация с длиной 512 выглядит более устойчивой, чем более короткий вариант. Я не трактую это как универсальное правило для всех арабографичных корпусов. Скорее это практический вывод для данного корпуса и данной постановки: при работе с историческим арабографичным текстом длину последовательности нужно проверять экспериментально, а не выбирать по умолчанию.</w:t>
      </w:r>
    </w:p>
    <w:bookmarkEnd w:id="58"/>
    <w:bookmarkStart w:id="59" w:name="X19ea1479c8c58d48c08a8bf495d59749d022072"/>
    <w:p>
      <w:pPr>
        <w:pStyle w:val="Heading3"/>
      </w:pPr>
      <w:r>
        <w:t xml:space="preserve">5.8 Распределение улучшенных и ухудшенных примеров</w:t>
      </w:r>
    </w:p>
    <w:p>
      <w:pPr>
        <w:pStyle w:val="FirstParagraph"/>
      </w:pPr>
      <w:r>
        <w:t xml:space="preserve">Агрегированные метрики показывают средний эффект, но не объясняют, насколько равномерно модель работает по строкам. Поэтому отдельно считается число примеров, где предсказание стало лучше, хуже или осталось на прежнем уровне.</w:t>
      </w:r>
    </w:p>
    <w:p>
      <w:pPr>
        <w:pStyle w:val="BodyText"/>
      </w:pPr>
      <w:r>
        <w:t xml:space="preserve">По CER модель улучшает 682 из 800 тестовых примеров, оставляет без изменений 60 и ухудшает 58. По WER картина близкая: 677 улучшенных примеров, 63 без изменений и 60 ухудшенных. Это важное уточнение к средним метрикам: выигрыш ByT5-small не держится на нескольких отдельных строках, а распределён по большей части тестовой выборки.</w:t>
      </w:r>
    </w:p>
    <w:p>
      <w:pPr>
        <w:pStyle w:val="BodyText"/>
      </w:pPr>
      <w:r>
        <w:t xml:space="preserve">Одновременно наличие ухудшенных примеров принципиально для практического вывода. Даже если модель чаще помогает, она всё равно иногда добавляет новые ошибки. Для будущей системы посткоррекции нужен механизм отката или фильтрации предсказаний, особенно если модель используется на архивных источниках без быстрой ручной проверки каждой строки.</w:t>
      </w:r>
    </w:p>
    <w:bookmarkEnd w:id="59"/>
    <w:bookmarkStart w:id="60" w:name="среднее-улучшение-по-примерам"/>
    <w:p>
      <w:pPr>
        <w:pStyle w:val="Heading3"/>
      </w:pPr>
      <w:r>
        <w:t xml:space="preserve">5.9 Среднее улучшение по примерам</w:t>
      </w:r>
    </w:p>
    <w:p>
      <w:pPr>
        <w:pStyle w:val="FirstParagraph"/>
      </w:pPr>
      <w:r>
        <w:t xml:space="preserve">Среднее снижение ошибки на уровне отдельных примеров составило 0.006092 по CER и 0.150467 по WER. Эти числа согласуются с итоговой таблицей: посимвольный выигрыш есть, но он небольшой, а выигрыш на уровне слов заметнее.</w:t>
      </w:r>
    </w:p>
    <w:p>
      <w:pPr>
        <w:pStyle w:val="BodyText"/>
      </w:pPr>
      <w:r>
        <w:t xml:space="preserve">Для интерпретации это означает следующее. В контролируемой синтетической постановке модель чаще исправляет структуру слов и пробелы, чем полностью восстанавливает каждый символ строки. Поэтому среднее улучшение полезно как краткое числовое резюме, но его нельзя рассматривать отдельно от распределения улучшенных и ухудшенных случаев.</w:t>
      </w:r>
    </w:p>
    <w:bookmarkEnd w:id="60"/>
    <w:bookmarkStart w:id="61" w:name="интерпретация-результатов"/>
    <w:p>
      <w:pPr>
        <w:pStyle w:val="Heading3"/>
      </w:pPr>
      <w:r>
        <w:t xml:space="preserve">5.10 Интерпретация результатов</w:t>
      </w:r>
    </w:p>
    <w:p>
      <w:pPr>
        <w:pStyle w:val="FirstParagraph"/>
      </w:pPr>
      <w:r>
        <w:t xml:space="preserve">Из синтетического эксперимента я делаю три вывода. Первый вывод отрицательный: нормализатор на правилах ухудшает качество, поэтому простая ручная нормализация не является безопасной предобработкой для такого материала.</w:t>
      </w:r>
    </w:p>
    <w:p>
      <w:pPr>
        <w:pStyle w:val="BodyText"/>
      </w:pPr>
      <w:r>
        <w:t xml:space="preserve">Второй вывод положительный, но ограниченный: ByT5-small 512 превосходит все рассмотренные методы на синтетическом наборе. Она даёт небольшой выигрыш по CER и заметный выигрыш по WER. Это подтверждает, что модель с байтовым представлением может быть полезной для посткоррекции арабографичного тюркского текста в контролируемой постановке.</w:t>
      </w:r>
    </w:p>
    <w:p>
      <w:pPr>
        <w:pStyle w:val="BodyText"/>
      </w:pPr>
      <w:r>
        <w:t xml:space="preserve">Третий вывод задаёт границу результата. Успех на синтетическом наборе нельзя переносить на реальные OCR/HTR-выходы без отдельной проверки. В текущем эксперименте модель учится на распределении ошибок генератора, а настоящий OCR зависит от шрифта, качества изображения, сегментации строки и особенностей конкретной OCR-системы. Поэтому результаты раздела 5 являются сильным пилотным сигналом, но не финальным доказательством практической применимости.</w:t>
      </w:r>
    </w:p>
    <w:bookmarkEnd w:id="61"/>
    <w:bookmarkStart w:id="62" w:name="ограничения-интерпретации"/>
    <w:p>
      <w:pPr>
        <w:pStyle w:val="Heading3"/>
      </w:pPr>
      <w:r>
        <w:t xml:space="preserve">5.11 Ограничения интерпретации</w:t>
      </w:r>
    </w:p>
    <w:p>
      <w:pPr>
        <w:pStyle w:val="FirstParagraph"/>
      </w:pPr>
      <w:r>
        <w:t xml:space="preserve">Результаты раздела 5 относятся прежде всего к построенному в работе тестовому контуру. В синтетической части проверяется не весь OCR-процесс, а только задача исправления уже заданной строки. Поэтому значения CER, WER и ExactMatch нельзя напрямую переносить на другие источники, шрифты, сканы или OCR-системы.</w:t>
      </w:r>
    </w:p>
    <w:p>
      <w:pPr>
        <w:pStyle w:val="BodyText"/>
      </w:pPr>
      <w:r>
        <w:t xml:space="preserve">Главное ограничение связано с данными. Корпус невелик, построен на одном основном источнике, а ошибки в основной тестовой части созданы генератором. Это удобно для воспроизводимого сравнения методов, но не заменяет набор реальных пар «OCR-вывод — эталон». Для практического вывода важнее не только средняя метрика, но и то, как модель ведёт себя на настоящем OCR-выводе.</w:t>
      </w:r>
    </w:p>
    <w:p>
      <w:pPr>
        <w:pStyle w:val="BodyText"/>
      </w:pPr>
      <w:r>
        <w:t xml:space="preserve">Есть и ограничение метрик. CER и WER измеряют формальную близость к эталону, но не решают вопрос историко-лингвистической допустимости исправления. Например, модель может приблизить строку к эталону по расстоянию Левенштейна, но при этом сгладить форму, которую исследователь не хотел бы нормализовать. По этой причине автоматические метрики в работе дополняются разбором ухудшенных случаев.</w:t>
      </w:r>
    </w:p>
    <w:bookmarkEnd w:id="62"/>
    <w:bookmarkStart w:id="63" w:name="X9ae740f4b068656258209a4fa61338553b28ec2"/>
    <w:p>
      <w:pPr>
        <w:pStyle w:val="Heading3"/>
      </w:pPr>
      <w:r>
        <w:t xml:space="preserve">5.12 Проверка переноса на постраничном реальном OCR</w:t>
      </w:r>
    </w:p>
    <w:p>
      <w:pPr>
        <w:pStyle w:val="FirstParagraph"/>
      </w:pPr>
      <w:r>
        <w:t xml:space="preserve">После синтетического эксперимента я отдельно проверил перенос на реальный OCR-вывод. Эта часть нужна для того, чтобы не смешивать два разных результата: работу модели на контролируемом шуме и её поведение на тексте, полученном настоящей OCR-системой.</w:t>
      </w:r>
    </w:p>
    <w:p>
      <w:pPr>
        <w:pStyle w:val="BodyText"/>
      </w:pPr>
      <w:r>
        <w:t xml:space="preserve">Для проверки использован османско-турецкий печатный источник в арабской графике. Он рассматривается как связанный арабографичный тюркский материал, но не как старотатарский или старобашкирский набор данных. После фильтрации в расчёт вошли 68 страниц. Сравнивались три варианта: исходный Tesseract, ByT5-small с разбиением страницы на фрагменты и ByT5-small со строгой фильтрацией предсказаний.</w:t>
      </w:r>
    </w:p>
    <w:p>
      <w:pPr>
        <w:pStyle w:val="BodyText"/>
      </w:pPr>
      <w:r>
        <w:t xml:space="preserve">Основные символные метрики проверки на реальном OCR представлены ниже. Для компактности</w:t>
      </w:r>
      <w:r>
        <w:t xml:space="preserve"> </w:t>
      </w:r>
      <w:r>
        <w:rPr>
          <w:rStyle w:val="VerbatimChar"/>
        </w:rPr>
        <w:t xml:space="preserve">NS-CER</w:t>
      </w:r>
      <w:r>
        <w:t xml:space="preserve"> </w:t>
      </w:r>
      <w:r>
        <w:t xml:space="preserve">обозначает NoSpaceCER.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Система</w:t>
            </w:r>
          </w:p>
        </w:tc>
        <w:tc>
          <w:tcPr/>
          <w:p>
            <w:pPr>
              <w:pStyle w:val="Compact"/>
              <w:jc w:val="right"/>
            </w:pPr>
            <w:r>
              <w:t xml:space="preserve">Стр.</w:t>
            </w:r>
          </w:p>
        </w:tc>
        <w:tc>
          <w:tcPr/>
          <w:p>
            <w:pPr>
              <w:pStyle w:val="Compact"/>
              <w:jc w:val="right"/>
            </w:pPr>
            <w:r>
              <w:t xml:space="preserve">CER ср.</w:t>
            </w:r>
          </w:p>
        </w:tc>
        <w:tc>
          <w:tcPr/>
          <w:p>
            <w:pPr>
              <w:pStyle w:val="Compact"/>
              <w:jc w:val="right"/>
            </w:pPr>
            <w:r>
              <w:t xml:space="preserve">CER мед.</w:t>
            </w:r>
          </w:p>
        </w:tc>
        <w:tc>
          <w:tcPr/>
          <w:p>
            <w:pPr>
              <w:pStyle w:val="Compact"/>
              <w:jc w:val="right"/>
            </w:pPr>
            <w:r>
              <w:t xml:space="preserve">NS-CER</w:t>
            </w:r>
          </w:p>
        </w:tc>
      </w:tr>
      <w:tr>
        <w:tc>
          <w:tcPr/>
          <w:p>
            <w:pPr>
              <w:pStyle w:val="Compact"/>
            </w:pPr>
            <w:r>
              <w:t xml:space="preserve">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0.3421</w:t>
            </w:r>
          </w:p>
        </w:tc>
      </w:tr>
      <w:tr>
        <w:tc>
          <w:tcPr/>
          <w:p>
            <w:pPr>
              <w:pStyle w:val="Compact"/>
            </w:pPr>
            <w:r>
              <w:t xml:space="preserve">ByT5-frag</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0.4658</w:t>
            </w:r>
          </w:p>
        </w:tc>
      </w:tr>
      <w:tr>
        <w:tc>
          <w:tcPr/>
          <w:p>
            <w:pPr>
              <w:pStyle w:val="Compact"/>
            </w:pPr>
            <w:r>
              <w:t xml:space="preserve">ByT5-filter</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0.3830</w:t>
            </w:r>
          </w:p>
        </w:tc>
      </w:tr>
    </w:tbl>
    <w:p>
      <w:pPr>
        <w:pStyle w:val="BodyText"/>
      </w:pPr>
      <w:r>
        <w:t xml:space="preserve">Метрики на уровне слов приведены отдельно.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Система</w:t>
            </w:r>
          </w:p>
        </w:tc>
        <w:tc>
          <w:tcPr/>
          <w:p>
            <w:pPr>
              <w:pStyle w:val="Compact"/>
              <w:jc w:val="right"/>
            </w:pPr>
            <w:r>
              <w:t xml:space="preserve">WER ср.</w:t>
            </w:r>
          </w:p>
        </w:tc>
        <w:tc>
          <w:tcPr/>
          <w:p>
            <w:pPr>
              <w:pStyle w:val="Compact"/>
              <w:jc w:val="right"/>
            </w:pPr>
            <w:r>
              <w:t xml:space="preserve">WER мед.</w:t>
            </w:r>
          </w:p>
        </w:tc>
      </w:tr>
      <w:tr>
        <w:tc>
          <w:tcPr/>
          <w:p>
            <w:pPr>
              <w:pStyle w:val="Compact"/>
            </w:pPr>
            <w:r>
              <w:t xml:space="preserve">Tesseract</w:t>
            </w:r>
          </w:p>
        </w:tc>
        <w:tc>
          <w:tcPr/>
          <w:p>
            <w:pPr>
              <w:pStyle w:val="Compact"/>
              <w:jc w:val="right"/>
            </w:pPr>
            <w:r>
              <w:t xml:space="preserve">0.9238</w:t>
            </w:r>
          </w:p>
        </w:tc>
        <w:tc>
          <w:tcPr/>
          <w:p>
            <w:pPr>
              <w:pStyle w:val="Compact"/>
              <w:jc w:val="right"/>
            </w:pPr>
            <w:r>
              <w:t xml:space="preserve">0.8943</w:t>
            </w:r>
          </w:p>
        </w:tc>
      </w:tr>
      <w:tr>
        <w:tc>
          <w:tcPr/>
          <w:p>
            <w:pPr>
              <w:pStyle w:val="Compact"/>
            </w:pPr>
            <w:r>
              <w:t xml:space="preserve">ByT5-frag</w:t>
            </w:r>
          </w:p>
        </w:tc>
        <w:tc>
          <w:tcPr/>
          <w:p>
            <w:pPr>
              <w:pStyle w:val="Compact"/>
              <w:jc w:val="right"/>
            </w:pPr>
            <w:r>
              <w:t xml:space="preserve">0.8919</w:t>
            </w:r>
          </w:p>
        </w:tc>
        <w:tc>
          <w:tcPr/>
          <w:p>
            <w:pPr>
              <w:pStyle w:val="Compact"/>
              <w:jc w:val="right"/>
            </w:pPr>
            <w:r>
              <w:t xml:space="preserve">0.8579</w:t>
            </w:r>
          </w:p>
        </w:tc>
      </w:tr>
      <w:tr>
        <w:tc>
          <w:tcPr/>
          <w:p>
            <w:pPr>
              <w:pStyle w:val="Compact"/>
            </w:pPr>
            <w:r>
              <w:t xml:space="preserve">ByT5-filter</w:t>
            </w:r>
          </w:p>
        </w:tc>
        <w:tc>
          <w:tcPr/>
          <w:p>
            <w:pPr>
              <w:pStyle w:val="Compact"/>
              <w:jc w:val="right"/>
            </w:pPr>
            <w:r>
              <w:t xml:space="preserve">0.9039</w:t>
            </w:r>
          </w:p>
        </w:tc>
        <w:tc>
          <w:tcPr/>
          <w:p>
            <w:pPr>
              <w:pStyle w:val="Compact"/>
              <w:jc w:val="right"/>
            </w:pPr>
            <w:r>
              <w:t xml:space="preserve">0.8605</w:t>
            </w:r>
          </w:p>
        </w:tc>
      </w:tr>
    </w:tbl>
    <w:p>
      <w:pPr>
        <w:pStyle w:val="BodyText"/>
      </w:pPr>
      <w:r>
        <w:t xml:space="preserve">Результат получился смешанным. По WER посткоррекция немного помогает: вариант с фрагментами снижает средний WER с 0.9238 до 0.8919. Но по CER и NoSpaceCER исходный Tesseract остаётся лучше. Для OCR на арабской графике это принципиально: улучшение границ слов не компенсирует ухудшение символного состава.</w:t>
      </w:r>
    </w:p>
    <w:bookmarkEnd w:id="63"/>
    <w:bookmarkStart w:id="64" w:name="постраничное-поведение-модели"/>
    <w:p>
      <w:pPr>
        <w:pStyle w:val="Heading3"/>
      </w:pPr>
      <w:r>
        <w:t xml:space="preserve">5.13 Постраничное поведение модели</w:t>
      </w:r>
    </w:p>
    <w:p>
      <w:pPr>
        <w:pStyle w:val="FirstParagraph"/>
      </w:pPr>
      <w:r>
        <w:t xml:space="preserve">Для проверки безопасности посткоррекции я отдельно посчитал, на скольких страницах модель улучшает или ухудшает CER относительно исходного Tesseract.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ByT5-frag</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ByT5-filter</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фильтрации модель улучшает только 6 страниц из 68 и ухудшает 62. Это означает, что прямое применение модели, обученной только на синтетическом шуме, к постраничному OCR небезопасно. Строгая фильтрация заметно уменьшает риск: число улучшенных страниц растёт до 33, а число ухудшенных снижается до 32. Но даже после фильтрации средний CER остаётся хуже, чем у исходного Tesseract.</w:t>
      </w:r>
    </w:p>
    <w:p>
      <w:pPr>
        <w:pStyle w:val="BodyText"/>
      </w:pPr>
      <w:r>
        <w:t xml:space="preserve">Этот результат полезнее, чем простой положительный отчёт о синтетических метриках. Он показывает место, где текущий подход ломается: модель выучила распределение синтетических ошибок, но не структуру настоящих ошибок Tesseract на конкретном печатном источнике.</w:t>
      </w:r>
    </w:p>
    <w:bookmarkEnd w:id="64"/>
    <w:bookmarkStart w:id="65" w:name="качественная-интерпретация-real-ocr"/>
    <w:p>
      <w:pPr>
        <w:pStyle w:val="Heading3"/>
      </w:pPr>
      <w:r>
        <w:t xml:space="preserve">5.14 Качественная интерпретация real OCR</w:t>
      </w:r>
    </w:p>
    <w:p>
      <w:pPr>
        <w:pStyle w:val="FirstParagraph"/>
      </w:pPr>
      <w:r>
        <w:t xml:space="preserve">В качественном разборе видно, что модель иногда исправляет пробелы и отдельные локальные искажения, но также может чрезмерно менять строку. На реальном OCR такие изменения опаснее, чем на синтетическом наборе: страница содержит ошибки сегментации, артефакты порядка чтения и фрагменты, которых не было в генераторе шума.</w:t>
      </w:r>
    </w:p>
    <w:p>
      <w:pPr>
        <w:pStyle w:val="BodyText"/>
      </w:pPr>
      <w:r>
        <w:t xml:space="preserve">Строгая фильтрация работает как защитный откат. Она отбрасывает предсказания, которые слишком сильно отличаются от исходного OCR по длине или расстоянию редактирования. Такой механизм не делает модель сильнее, но уменьшает число явно вредных исправлений. В будущей системе посткоррекции такой откат нужен обязательно: модель не должна заменять исходный OCR, если сама не даёт достаточно надёжного улучшения.</w:t>
      </w:r>
    </w:p>
    <w:p>
      <w:pPr>
        <w:pStyle w:val="BodyText"/>
      </w:pPr>
      <w:r>
        <w:t xml:space="preserve">Главный вывод этой проверки состоит в том, что обучение только на синтетике недостаточно. Для настоящего OCR нужны пары, где входом является реальный OCR-вывод, а выходом — проверенный эталонный текст. Только на таких данных можно понять, какие ошибки модель действительно исправляет, а какие создаёт сама.</w:t>
      </w:r>
    </w:p>
    <w:bookmarkEnd w:id="65"/>
    <w:bookmarkStart w:id="66" w:name="выводы-по-разделу-2"/>
    <w:p>
      <w:pPr>
        <w:pStyle w:val="Heading3"/>
      </w:pPr>
      <w:r>
        <w:t xml:space="preserve">5.15 Выводы по разделу</w:t>
      </w:r>
    </w:p>
    <w:p>
      <w:pPr>
        <w:pStyle w:val="FirstParagraph"/>
      </w:pPr>
      <w:r>
        <w:t xml:space="preserve">Раздел результатов показывает две разные картины. На синтетическом наборе ByT5-small 512 превосходит метод без исправления, нормализатор на правилах и символьный метод. Она улучшает большинство тестовых строк и особенно заметно снижает WER.</w:t>
      </w:r>
    </w:p>
    <w:p>
      <w:pPr>
        <w:pStyle w:val="BodyText"/>
      </w:pPr>
      <w:r>
        <w:t xml:space="preserve">Проверка на реальном OCR ограничивает этот вывод. На постраничном OCR османско-турецкого источника модель, обученная только на синтетических ошибках, не превосходит исходный Tesseract по CER. Без фильтрации она ухудшает большинство страниц; с фильтрацией становится безопаснее, но всё равно не даёт среднего выигрыша по символным метрикам.</w:t>
      </w:r>
    </w:p>
    <w:p>
      <w:pPr>
        <w:pStyle w:val="BodyText"/>
      </w:pPr>
      <w:r>
        <w:t xml:space="preserve">Итог раздела такой: экспериментальный контур и обучение модели работают в контролируемой среде, но переход к реальным историческим сканам требует отдельной адаптации. Это не дополнительная косметическая проверка, а центральное условие практической применимости. Без настоящих пар «OCR-вывод — эталон» нельзя утверждать, что модель решает задачу OCR-посткоррекции для архивных источников.</w:t>
      </w:r>
    </w:p>
    <w:bookmarkEnd w:id="66"/>
    <w:bookmarkEnd w:id="67"/>
    <w:bookmarkStart w:id="74" w:name="Xe8e02886c60b8939714d6e867e04f7997a20272"/>
    <w:p>
      <w:pPr>
        <w:pStyle w:val="Heading2"/>
      </w:pPr>
      <w:r>
        <w:t xml:space="preserve">6. Ограничения и направления дальнейшей работы</w:t>
      </w:r>
    </w:p>
    <w:bookmarkStart w:id="68" w:name="ограничения-корпуса-1"/>
    <w:p>
      <w:pPr>
        <w:pStyle w:val="Heading3"/>
      </w:pPr>
      <w:r>
        <w:t xml:space="preserve">6.1 Ограничения корпуса</w:t>
      </w:r>
    </w:p>
    <w:p>
      <w:pPr>
        <w:pStyle w:val="FirstParagraph"/>
      </w:pPr>
      <w:r>
        <w:t xml:space="preserve">Текущий корпус имеет ограниченный масштаб. В работе используется 400 эталонных текстовых блоков из одного основного арабографичного тюркского источника. Этого достаточно, чтобы проверить экспериментальную схему, но недостаточно, чтобы делать вывод о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Тексты разных регионов и периодов могут отличаться письмом, лексикой, типографикой, качеством печати и состоянием скана. Отдельно важно, что старотатарские и старобашкирские источники пока остаются целью следующего этапа, а не основным набором оценки в этой версии.</w:t>
      </w:r>
    </w:p>
    <w:bookmarkEnd w:id="68"/>
    <w:bookmarkStart w:id="69" w:name="ограничения-синтетического-шума-1"/>
    <w:p>
      <w:pPr>
        <w:pStyle w:val="Heading3"/>
      </w:pPr>
      <w:r>
        <w:t xml:space="preserve">6.2 Ограничения синтетического шума</w:t>
      </w:r>
    </w:p>
    <w:p>
      <w:pPr>
        <w:pStyle w:val="FirstParagraph"/>
      </w:pPr>
      <w:r>
        <w:t xml:space="preserve">Синтетический шум удобен для первого эксперимента: известен эталон, контролируется разбиение данных, а все методы сравниваются в одинаковых условиях. Но такой шум не является настоящим OCR-выводом. Он не содержит качества скана, особенностей шрифта, ошибок выделения строк, смешения фрагментов страницы и систематических ошибок конкретной OCR-модели.</w:t>
      </w:r>
    </w:p>
    <w:p>
      <w:pPr>
        <w:pStyle w:val="BodyText"/>
      </w:pPr>
      <w:r>
        <w:t xml:space="preserve">Практически это означает следующее: увеличение объёма синтетики само по себе не решит задачу. Следующая версия должна строиться вокруг реальных пар «OCR-вывод — эталон». Синтетические данные можно оставить как вспомогательный слой, но основной тест должен проверять настоящие ошибки распознавания.</w:t>
      </w:r>
    </w:p>
    <w:bookmarkEnd w:id="69"/>
    <w:bookmarkStart w:id="70" w:name="ограничения-метрик"/>
    <w:p>
      <w:pPr>
        <w:pStyle w:val="Heading3"/>
      </w:pPr>
      <w:r>
        <w:t xml:space="preserve">6.3 Ограничения метрик</w:t>
      </w:r>
    </w:p>
    <w:p>
      <w:pPr>
        <w:pStyle w:val="FirstParagraph"/>
      </w:pPr>
      <w:r>
        <w:t xml:space="preserve">CER, WER, NoSpaceCER и ExactMatch дают полезную, но неполную картину качества. CER чувствителен к символам, WER — к границам слов, NoSpaceCER помогает отделить пробельные ошибки, ExactMatch слишком строг для длинных строк. Вместе они описывают формальную близость к эталону, но не заменяют экспертную оценку.</w:t>
      </w:r>
    </w:p>
    <w:p>
      <w:pPr>
        <w:pStyle w:val="BodyText"/>
      </w:pPr>
      <w:r>
        <w:t xml:space="preserve">Для следующей версии набора нужна ручная проверка небольшой подвыборки. В ней следует фиксировать не только факт ошибки, но и её тип: замену графемы, пропуск, лишнюю вставку, ошибку пробела, чрезмерную нормализацию исторического написания, повтор фрагмента или грубое искажение строки. Тогда автоматические метрики можно будет связать с реальным качеством текста.</w:t>
      </w:r>
    </w:p>
    <w:bookmarkEnd w:id="70"/>
    <w:bookmarkStart w:id="71" w:name="ограничения-проверки-на-реальном-ocr"/>
    <w:p>
      <w:pPr>
        <w:pStyle w:val="Heading3"/>
      </w:pPr>
      <w:r>
        <w:t xml:space="preserve">6.4 Ограничения проверки на реальном OCR</w:t>
      </w:r>
    </w:p>
    <w:p>
      <w:pPr>
        <w:pStyle w:val="FirstParagraph"/>
      </w:pPr>
      <w:r>
        <w:t xml:space="preserve">Проверка на реальном OCR в этой работе уже показывает главное ограничение синтетического обучения, но сама она тоже остаётся предварительной. Используется османско-турецкий печатный источник, а не старотатарский или старобашкирский материал. Кроме того, оценка выполнена на постраничном уровне, где на результат влияют длина страницы, разбиение на фрагменты и качество сопоставления с эталоном.</w:t>
      </w:r>
    </w:p>
    <w:p>
      <w:pPr>
        <w:pStyle w:val="BodyText"/>
      </w:pPr>
      <w:r>
        <w:t xml:space="preserve">Следующий шаг — перейти от постраничной оценки к более точным парам на уровне строки или короткого фрагмента. Для этого нужно выделить строки на изображении, получить OCR-вывод, сопоставить его с проверенным текстом и вручную проверить спорные случаи. Такая работа труднее, но именно она позволит обучать модель на настоящих ошибках, а не только проверять перенос с синтетики.</w:t>
      </w:r>
    </w:p>
    <w:bookmarkEnd w:id="71"/>
    <w:bookmarkStart w:id="72" w:name="следующий-набор-данных"/>
    <w:p>
      <w:pPr>
        <w:pStyle w:val="Heading3"/>
      </w:pPr>
      <w:r>
        <w:t xml:space="preserve">6.5 Следующий набор данных</w:t>
      </w:r>
    </w:p>
    <w:p>
      <w:pPr>
        <w:pStyle w:val="FirstParagraph"/>
      </w:pPr>
      <w:r>
        <w:t xml:space="preserve">Следующая версия набора данных должна включать несколько типов источников. Минимальный вариант — добавить старотатарские и старобашкирские страницы, для которых можно получить скан, OCR-вывод и проверенный эталон. Для каждой страницы нужно хранить источник, год или примерный период, тип печати, качество скана и способ получения OCR.</w:t>
      </w:r>
    </w:p>
    <w:p>
      <w:pPr>
        <w:pStyle w:val="BodyText"/>
      </w:pPr>
      <w:r>
        <w:t xml:space="preserve">Отдельно нужен журнал ошибок. В нём стоит фиксировать, какие графемы чаще всего путает OCR, где возникают проблемы пробелов, какие строки модель ухудшает и какие предсказания нужно откатывать. Такой журнал важнее ещё одного общего числа CER, потому что он показывает, как именно улучшать систему.</w:t>
      </w:r>
    </w:p>
    <w:bookmarkEnd w:id="72"/>
    <w:bookmarkStart w:id="73" w:name="X91867cc38c0f4e6667de3b2a642ec76d2863e9f"/>
    <w:p>
      <w:pPr>
        <w:pStyle w:val="Heading3"/>
      </w:pPr>
      <w:r>
        <w:t xml:space="preserve">6.6 Переход к системе анализа исторических источников</w:t>
      </w:r>
    </w:p>
    <w:p>
      <w:pPr>
        <w:pStyle w:val="FirstParagraph"/>
      </w:pPr>
      <w:r>
        <w:t xml:space="preserve">В более широкой магистерской работе посткоррекция OCR может стать одним из компонентов системы анализа арабографичных тюркских источников. Такая система может включать выделение строк на изображении, OCR/HTR, посткоррекцию, извлечение имён и топонимов, сопоставление архивных записей и построение связей между людьми, местами и документами.</w:t>
      </w:r>
    </w:p>
    <w:p>
      <w:pPr>
        <w:pStyle w:val="BodyText"/>
      </w:pPr>
      <w:r>
        <w:t xml:space="preserve">Текущая работа полезна тем, что заранее показывает слабое место этой цепочки. До извлечения сущностей и построения графа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финальным украшением проекта, а одним из первых этапов разработки.</w:t>
      </w:r>
    </w:p>
    <w:bookmarkEnd w:id="73"/>
    <w:bookmarkEnd w:id="74"/>
    <w:bookmarkStart w:id="75" w:name="заключение"/>
    <w:p>
      <w:pPr>
        <w:pStyle w:val="Heading2"/>
      </w:pPr>
      <w:r>
        <w:t xml:space="preserve">7. Заключение</w:t>
      </w:r>
    </w:p>
    <w:p>
      <w:pPr>
        <w:pStyle w:val="FirstParagraph"/>
      </w:pPr>
      <w:r>
        <w:t xml:space="preserve">В работе проверен воспроизводимый контур посткоррекции OCR для исторических тюркских текстов в арабской графике. Задача была намеренно сужена: я не строил полную OCR/HTR-систему, а рассматривал текстовый этап после распознавания. На вход подавалась искажённая строка или OCR-вывод, на выходе ожидалась строка, близкая к эталону.</w:t>
      </w:r>
    </w:p>
    <w:p>
      <w:pPr>
        <w:pStyle w:val="BodyText"/>
      </w:pPr>
      <w:r>
        <w:t xml:space="preserve">На синтетическом наборе ByT5-small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улучшение оказалось неодинаковым по метрикам: WER снизился заметнее, чем CER, а ExactMatch остался низким. Это говорит не о готовой системе, а о работоспособном пилотном направлении.</w:t>
      </w:r>
    </w:p>
    <w:p>
      <w:pPr>
        <w:pStyle w:val="BodyText"/>
      </w:pPr>
      <w:r>
        <w:t xml:space="preserve">Нормализатор на правилах дал важный отрицательный результат. В проведённом эксперименте он ухудшил качество относительно метода без исправления. Для исторического арабографичного материала это существенное наблюдение: простая техническая нормализация может менять формы, которые важны для источника, и поэтому не должна применяться без отдельной проверки.</w:t>
      </w:r>
    </w:p>
    <w:p>
      <w:pPr>
        <w:pStyle w:val="BodyText"/>
      </w:pPr>
      <w:r>
        <w:t xml:space="preserve">Главное ограничение обнаружилось при переносе на реальный OCR. На постраничном выводе Tesseract модель, обученная только на синтетических искажениях, не дала среднего выигрыша по CER и NoSpaceCER. Более того, без фильтрации она ухудшала большинство страниц. Защитная фильтрация уменьшила число плохих случаев, но не превратила модель в надёжный корректор.</w:t>
      </w:r>
    </w:p>
    <w:p>
      <w:pPr>
        <w:pStyle w:val="BodyText"/>
      </w:pPr>
      <w:r>
        <w:t xml:space="preserve">Итог работы состоит не в создании готового OCR-инструмента, а в фиксации проверяемого маршрута дальнейшего исследования. Уже есть корпус, генератор ошибок, разбиение без утечки, набор базовых методов, обучение ByT5-small, метрики и отдельная проверка на реальном OCR. Следующий этап должен быть построен вокруг настоящих пар «OCR-вывод — эталон» для татарских, башкирских и других тюркских источников в арабской графике.</w:t>
      </w:r>
    </w:p>
    <w:p>
      <w:pPr>
        <w:pStyle w:val="BodyText"/>
      </w:pPr>
      <w:r>
        <w:t xml:space="preserve">Для курсовой работы такой результат достаточен: он показывает не только положительный эффект на синтетическом наборе, но и границу применимости этого эффекта. Для магистерской диссертации эта граница становится основной задачей: собрать реальные OCR-пары, описать типы ошибок, обучить модель на настоящих искажениях и проверить, можно ли безопасно использовать посткоррекцию перед дальнейшим историко-лингвистическим анализом.</w:t>
      </w:r>
    </w:p>
    <w:p>
      <w:r>
        <w:br w:type="page"/>
      </w:r>
    </w:p>
    <w:bookmarkEnd w:id="75"/>
    <w:bookmarkEnd w:id="76"/>
    <w:bookmarkStart w:id="77" w:name="список-литературы"/>
    <w:p>
      <w:pPr>
        <w:pStyle w:val="Heading1"/>
      </w:pPr>
      <w:r>
        <w:t xml:space="preserve">Список литературы</w:t>
      </w:r>
    </w:p>
    <w:p>
      <w:pPr>
        <w:numPr>
          <w:ilvl w:val="0"/>
          <w:numId w:val="1003"/>
        </w:numPr>
      </w:pPr>
      <w:r>
        <w:t xml:space="preserve">Vaswani A., Shazeer N., Parmar N., Uszkoreit J., Jones L., Gomez A. N., Kaiser L., Polosukhin I. Attention Is All You Need. 2017. arXiv:1706.03762. URL: https://arxiv.org/abs/1706.03762</w:t>
      </w:r>
    </w:p>
    <w:p>
      <w:pPr>
        <w:numPr>
          <w:ilvl w:val="0"/>
          <w:numId w:val="100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03"/>
        </w:numPr>
      </w:pPr>
      <w:r>
        <w:t xml:space="preserve">Xue L., Barua A., Constant N., Al-Rfou R., Narang S., Kale M., Roberts A., Raffel C. ByT5: Towards a token-free future with pre-trained byte-to-byte models. 2021. arXiv:2105.13626. URL: https://arxiv.org/abs/2105.13626</w:t>
      </w:r>
    </w:p>
    <w:p>
      <w:pPr>
        <w:numPr>
          <w:ilvl w:val="0"/>
          <w:numId w:val="1003"/>
        </w:numPr>
      </w:pPr>
      <w:r>
        <w:t xml:space="preserve">Ramirez-Orta J., Xamena E., Maguitman A., Milios E., Soto A. J. Post-OCR Document Correction with large Ensembles of Character Sequence-to-Sequence Models. 2021. arXiv:2109.06264. URL: https://arxiv.org/abs/2109.06264</w:t>
      </w:r>
    </w:p>
    <w:p>
      <w:pPr>
        <w:numPr>
          <w:ilvl w:val="0"/>
          <w:numId w:val="1003"/>
        </w:numPr>
      </w:pPr>
      <w:r>
        <w:t xml:space="preserve">Hämäläinen M., Hengchen S. From the Paft to the Fiiture: a Fully Automatic NMT and Word Embeddings Method for OCR Post-Correction. 2019. arXiv:1910.05535. URL: https://arxiv.org/abs/1910.05535</w:t>
      </w:r>
    </w:p>
    <w:p>
      <w:pPr>
        <w:numPr>
          <w:ilvl w:val="0"/>
          <w:numId w:val="1003"/>
        </w:numPr>
      </w:pPr>
      <w:r>
        <w:t xml:space="preserve">Duong Q., Hämäläinen M., Hengchen S. An Unsupervised method for OCR Post-Correction and Spelling Normalisation for Finnish. 2020. arXiv:2011.03502. URL: https://arxiv.org/abs/2011.03502</w:t>
      </w:r>
    </w:p>
    <w:p>
      <w:pPr>
        <w:numPr>
          <w:ilvl w:val="0"/>
          <w:numId w:val="1003"/>
        </w:numPr>
      </w:pPr>
      <w:r>
        <w:t xml:space="preserve">Suissa O., Elmalech A., Zhitomirsky-Geffet M. Optimizing the Neural Network Training for OCR Error Correction of Historical Hebrew Texts. 2023. arXiv:2307.16220. URL: https://arxiv.org/abs/2307.16220</w:t>
      </w:r>
    </w:p>
    <w:p>
      <w:pPr>
        <w:numPr>
          <w:ilvl w:val="0"/>
          <w:numId w:val="1003"/>
        </w:numPr>
      </w:pPr>
      <w:r>
        <w:t xml:space="preserve">Kanerva J., Ledins C., Käpyaho S., Ginter F. OCR Error Post-Correction with LLMs in Historical Documents: No Free Lunches. 2025. arXiv:2502.01205. URL: https://arxiv.org/abs/2502.01205</w:t>
      </w:r>
    </w:p>
    <w:p>
      <w:pPr>
        <w:numPr>
          <w:ilvl w:val="0"/>
          <w:numId w:val="100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03"/>
        </w:numPr>
      </w:pPr>
      <w:r>
        <w:t xml:space="preserve">Springmann U., Reul C., Dipper S., Baiter J. Ground Truth for training OCR engines on historical documents in German Fraktur and Early Modern Latin. 2018. arXiv:1809.05501. URL: https://arxiv.org/abs/1809.05501</w:t>
      </w:r>
    </w:p>
    <w:p>
      <w:pPr>
        <w:numPr>
          <w:ilvl w:val="0"/>
          <w:numId w:val="1003"/>
        </w:numPr>
      </w:pPr>
      <w:r>
        <w:t xml:space="preserve">Kasem M. S., Mahmoud M., Kang H.-S. Advancements and Challenges in Arabic Optical Character Recognition: A Comprehensive Survey. 2023. arXiv:2312.11812. URL: https://arxiv.org/abs/2312.11812</w:t>
      </w:r>
    </w:p>
    <w:p>
      <w:pPr>
        <w:numPr>
          <w:ilvl w:val="0"/>
          <w:numId w:val="1003"/>
        </w:numPr>
      </w:pPr>
      <w:r>
        <w:t xml:space="preserve">Osman H., Zaghw K., Hazem M., Elsehely S. An Efficient Language-Independent Multi-Font OCR for Arabic Script. 2020. arXiv:2009.09115. URL: https://arxiv.org/abs/2009.09115</w:t>
      </w:r>
    </w:p>
    <w:p>
      <w:pPr>
        <w:numPr>
          <w:ilvl w:val="0"/>
          <w:numId w:val="1003"/>
        </w:numPr>
      </w:pPr>
      <w:r>
        <w:t xml:space="preserve">Kirmizialtin S., Wrisley D. Automated Transcription of Non-Latin Script Periodicals: A Case Study in the Ottoman Turkish Print Archive. 2020. arXiv:2011.01139. URL: https://arxiv.org/abs/2011.01139</w:t>
      </w:r>
    </w:p>
    <w:p>
      <w:pPr>
        <w:numPr>
          <w:ilvl w:val="0"/>
          <w:numId w:val="100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03"/>
        </w:numPr>
      </w:pPr>
      <w:r>
        <w:t xml:space="preserve">Lyu L., Koutraki M., Krickl M., Fetahu B. Neural OCR Post-Hoc Correction of Historical Corpora. 2021. arXiv:2102.00583. URL: https://arxiv.org/abs/2102.00583</w:t>
      </w:r>
    </w:p>
    <w:p>
      <w:pPr>
        <w:numPr>
          <w:ilvl w:val="0"/>
          <w:numId w:val="1003"/>
        </w:numPr>
      </w:pPr>
      <w:r>
        <w:t xml:space="preserve">Rijhwani S., Rosenblum D., Anastasopoulos A., Neubig G. Lexically Aware Semi-Supervised Learning for OCR Post-Correction. 2021. arXiv:2111.02622. URL: https://arxiv.org/abs/2111.02622</w:t>
      </w:r>
    </w:p>
    <w:p>
      <w:pPr>
        <w:numPr>
          <w:ilvl w:val="0"/>
          <w:numId w:val="1003"/>
        </w:numPr>
      </w:pPr>
      <w:r>
        <w:t xml:space="preserve">Naiman J. P., Cosillo M. G., Williams P. K. G., Goodman A. Large Synthetic Data from the arXiv for OCR Post Correction of Historic Scientific Articles. 2023. arXiv:2309.11549. URL: https://arxiv.org/abs/2309.11549</w:t>
      </w:r>
    </w:p>
    <w:p>
      <w:pPr>
        <w:numPr>
          <w:ilvl w:val="0"/>
          <w:numId w:val="1003"/>
        </w:numPr>
      </w:pPr>
      <w:r>
        <w:t xml:space="preserve">Guan S., Greene D. Advancing Post-OCR Correction: A Comparative Study of Synthetic Data. 2024. arXiv:2408.02253. URL: https://arxiv.org/abs/2408.02253</w:t>
      </w:r>
    </w:p>
    <w:p>
      <w:pPr>
        <w:numPr>
          <w:ilvl w:val="0"/>
          <w:numId w:val="1003"/>
        </w:numPr>
      </w:pPr>
      <w:r>
        <w:t xml:space="preserve">Kashid H., Bhattacharyya P. RoundTripOCR: A Data Generation Technique for Enhancing Post-OCR Error Correction in Low-Resource Devanagari Languages. 2024. arXiv:2412.15248. URL: https://arxiv.org/abs/2412.15248</w:t>
      </w:r>
    </w:p>
    <w:p>
      <w:pPr>
        <w:numPr>
          <w:ilvl w:val="0"/>
          <w:numId w:val="1003"/>
        </w:numPr>
      </w:pPr>
      <w:r>
        <w:t xml:space="preserve">Li M., Lv T., Chen J., Cui L., Lu Y., Florencio D., Zhang C., Li Z., Wei F. TrOCR: Transformer-based Optical Character Recognition with Pre-trained Models. 2021. arXiv:2109.10282. URL: https://arxiv.org/abs/2109.10282</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2026-06-25T01:48:59Z</dcterms:created>
  <dcterms:modified xsi:type="dcterms:W3CDTF">2026-06-25T01:48:59Z</dcterms:modified>
</cp:coreProperties>
</file>

<file path=docProps/custom.xml><?xml version="1.0" encoding="utf-8"?>
<Properties xmlns="http://schemas.openxmlformats.org/officeDocument/2006/custom-properties" xmlns:vt="http://schemas.openxmlformats.org/officeDocument/2006/docPropsVTypes"/>
</file>