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7"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процесс: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модели, обученной на синтетических искажениях, на реальный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и воспроизводимая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OCR исторических документов требует воспроизводимого процесса, эталонных данных и ручной проверки, а не только запуска модели распознавания. Во-вторых, распознавание арабской графики имеет собственные графические трудности и проблемы структуры страницы. В-третьих, посткоррекция OCR естественно формулируется как преобразование ошибочного текста в эталонный. В-четвёртых, синтетические данные полезны для низкоресурсных постановок, но их нужно отдельно проверять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моделирует реальный OCR полностью,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этой задачи,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8"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с 0.086005 до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на фрагменты;</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X62bfc526522db2362d3e52db8ee7524c8b80cbe"/>
    <w:p>
      <w:pPr>
        <w:pStyle w:val="Heading3"/>
      </w:pPr>
      <w:r>
        <w:t xml:space="preserve">5.13 Качественный разбор отдельных real-OCR строк</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OCR/reference-фрагменты, ручную типологию ошибок и обучение на настоящем распределении OCR-ошибок.</w:t>
      </w:r>
    </w:p>
    <w:bookmarkEnd w:id="65"/>
    <w:bookmarkStart w:id="66" w:name="X6c14eb027de5fe9d860b5df768a6d00b13ead19"/>
    <w:p>
      <w:pPr>
        <w:pStyle w:val="Heading3"/>
      </w:pPr>
      <w:r>
        <w:t xml:space="preserve">5.14 Качественный разбор постраничных real-OCR случаев</w:t>
      </w:r>
    </w:p>
    <w:p>
      <w:pPr>
        <w:pStyle w:val="FirstParagraph"/>
      </w:pPr>
      <w:r>
        <w:t xml:space="preserve">Построчные примеры показывают локальные типы ошибок, но page-level проверка важна для другого вопроса: что происходит при применении модели к целой странице после разбиения на фрагменты. Ниже приведены несколько характерных случаев из page-level эксперимента. В таблице сравниваются исходный Tesseract OCR, ByT5-small после chunked-применения и strict guarded вариант.</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Случай</w:t>
            </w:r>
          </w:p>
        </w:tc>
        <w:tc>
          <w:tcPr/>
          <w:p>
            <w:pPr>
              <w:pStyle w:val="Compact"/>
              <w:jc w:val="right"/>
            </w:pPr>
            <w:r>
              <w:t xml:space="preserve">Страница</w:t>
            </w:r>
          </w:p>
        </w:tc>
        <w:tc>
          <w:tcPr/>
          <w:p>
            <w:pPr>
              <w:pStyle w:val="Compact"/>
              <w:jc w:val="right"/>
            </w:pPr>
            <w:r>
              <w:t xml:space="preserve">Raw CER</w:t>
            </w:r>
          </w:p>
        </w:tc>
        <w:tc>
          <w:tcPr/>
          <w:p>
            <w:pPr>
              <w:pStyle w:val="Compact"/>
              <w:jc w:val="right"/>
            </w:pPr>
            <w:r>
              <w:t xml:space="preserve">ByT5 CER</w:t>
            </w:r>
          </w:p>
        </w:tc>
        <w:tc>
          <w:tcPr/>
          <w:p>
            <w:pPr>
              <w:pStyle w:val="Compact"/>
              <w:jc w:val="right"/>
            </w:pPr>
            <w:r>
              <w:t xml:space="preserve">Strict CER</w:t>
            </w:r>
          </w:p>
        </w:tc>
        <w:tc>
          <w:tcPr/>
          <w:p>
            <w:pPr>
              <w:pStyle w:val="Compact"/>
              <w:jc w:val="right"/>
            </w:pPr>
            <w:r>
              <w:t xml:space="preserve">Raw WER</w:t>
            </w:r>
          </w:p>
        </w:tc>
        <w:tc>
          <w:tcPr/>
          <w:p>
            <w:pPr>
              <w:pStyle w:val="Compact"/>
              <w:jc w:val="right"/>
            </w:pPr>
            <w:r>
              <w:t xml:space="preserve">ByT5 WER</w:t>
            </w:r>
          </w:p>
        </w:tc>
        <w:tc>
          <w:tcPr/>
          <w:p>
            <w:pPr>
              <w:pStyle w:val="Compact"/>
              <w:jc w:val="right"/>
            </w:pPr>
            <w:r>
              <w:t xml:space="preserve">Strict WER</w:t>
            </w:r>
          </w:p>
        </w:tc>
        <w:tc>
          <w:tcPr/>
          <w:p>
            <w:pPr>
              <w:pStyle w:val="Compact"/>
            </w:pPr>
            <w:r>
              <w:t xml:space="preserve">Интерпретация</w:t>
            </w:r>
          </w:p>
        </w:tc>
      </w:tr>
      <w:tr>
        <w:tc>
          <w:tcPr/>
          <w:p>
            <w:pPr>
              <w:pStyle w:val="Compact"/>
            </w:pPr>
            <w:r>
              <w:t xml:space="preserve">Небольшое реальное улучшение</w:t>
            </w:r>
          </w:p>
        </w:tc>
        <w:tc>
          <w:tcPr/>
          <w:p>
            <w:pPr>
              <w:pStyle w:val="Compact"/>
              <w:jc w:val="right"/>
            </w:pPr>
            <w:r>
              <w:t xml:space="preserve">50</w:t>
            </w:r>
          </w:p>
        </w:tc>
        <w:tc>
          <w:tcPr/>
          <w:p>
            <w:pPr>
              <w:pStyle w:val="Compact"/>
              <w:jc w:val="right"/>
            </w:pPr>
            <w:r>
              <w:t xml:space="preserve">0.2722</w:t>
            </w:r>
          </w:p>
        </w:tc>
        <w:tc>
          <w:tcPr/>
          <w:p>
            <w:pPr>
              <w:pStyle w:val="Compact"/>
              <w:jc w:val="right"/>
            </w:pPr>
            <w:r>
              <w:t xml:space="preserve">0.2542</w:t>
            </w:r>
          </w:p>
        </w:tc>
        <w:tc>
          <w:tcPr/>
          <w:p>
            <w:pPr>
              <w:pStyle w:val="Compact"/>
              <w:jc w:val="right"/>
            </w:pPr>
            <w:r>
              <w:t xml:space="preserve">0.2542</w:t>
            </w:r>
          </w:p>
        </w:tc>
        <w:tc>
          <w:tcPr/>
          <w:p>
            <w:pPr>
              <w:pStyle w:val="Compact"/>
              <w:jc w:val="right"/>
            </w:pPr>
            <w:r>
              <w:t xml:space="preserve">0.8721</w:t>
            </w:r>
          </w:p>
        </w:tc>
        <w:tc>
          <w:tcPr/>
          <w:p>
            <w:pPr>
              <w:pStyle w:val="Compact"/>
              <w:jc w:val="right"/>
            </w:pPr>
            <w:r>
              <w:t xml:space="preserve">0.8219</w:t>
            </w:r>
          </w:p>
        </w:tc>
        <w:tc>
          <w:tcPr/>
          <w:p>
            <w:pPr>
              <w:pStyle w:val="Compact"/>
              <w:jc w:val="right"/>
            </w:pPr>
            <w:r>
              <w:t xml:space="preserve">0.8219</w:t>
            </w:r>
          </w:p>
        </w:tc>
        <w:tc>
          <w:tcPr/>
          <w:p>
            <w:pPr>
              <w:pStyle w:val="Compact"/>
            </w:pPr>
            <w:r>
              <w:t xml:space="preserve">Один из немногих случаев, где ByT5 улучшает и CER, и WER.</w:t>
            </w:r>
          </w:p>
        </w:tc>
      </w:tr>
      <w:tr>
        <w:tc>
          <w:tcPr/>
          <w:p>
            <w:pPr>
              <w:pStyle w:val="Compact"/>
            </w:pPr>
            <w:r>
              <w:t xml:space="preserve">Улучшение с сохранением вывода ByT5</w:t>
            </w:r>
          </w:p>
        </w:tc>
        <w:tc>
          <w:tcPr/>
          <w:p>
            <w:pPr>
              <w:pStyle w:val="Compact"/>
              <w:jc w:val="right"/>
            </w:pPr>
            <w:r>
              <w:t xml:space="preserve">38</w:t>
            </w:r>
          </w:p>
        </w:tc>
        <w:tc>
          <w:tcPr/>
          <w:p>
            <w:pPr>
              <w:pStyle w:val="Compact"/>
              <w:jc w:val="right"/>
            </w:pPr>
            <w:r>
              <w:t xml:space="preserve">0.3175</w:t>
            </w:r>
          </w:p>
        </w:tc>
        <w:tc>
          <w:tcPr/>
          <w:p>
            <w:pPr>
              <w:pStyle w:val="Compact"/>
              <w:jc w:val="right"/>
            </w:pPr>
            <w:r>
              <w:t xml:space="preserve">0.3011</w:t>
            </w:r>
          </w:p>
        </w:tc>
        <w:tc>
          <w:tcPr/>
          <w:p>
            <w:pPr>
              <w:pStyle w:val="Compact"/>
              <w:jc w:val="right"/>
            </w:pPr>
            <w:r>
              <w:t xml:space="preserve">0.3011</w:t>
            </w:r>
          </w:p>
        </w:tc>
        <w:tc>
          <w:tcPr/>
          <w:p>
            <w:pPr>
              <w:pStyle w:val="Compact"/>
              <w:jc w:val="right"/>
            </w:pPr>
            <w:r>
              <w:t xml:space="preserve">0.9073</w:t>
            </w:r>
          </w:p>
        </w:tc>
        <w:tc>
          <w:tcPr/>
          <w:p>
            <w:pPr>
              <w:pStyle w:val="Compact"/>
              <w:jc w:val="right"/>
            </w:pPr>
            <w:r>
              <w:t xml:space="preserve">0.8488</w:t>
            </w:r>
          </w:p>
        </w:tc>
        <w:tc>
          <w:tcPr/>
          <w:p>
            <w:pPr>
              <w:pStyle w:val="Compact"/>
              <w:jc w:val="right"/>
            </w:pPr>
            <w:r>
              <w:t xml:space="preserve">0.8488</w:t>
            </w:r>
          </w:p>
        </w:tc>
        <w:tc>
          <w:tcPr/>
          <w:p>
            <w:pPr>
              <w:pStyle w:val="Compact"/>
            </w:pPr>
            <w:r>
              <w:t xml:space="preserve">Модель даёт умеренный выигрыш, но масштаб улучшения остаётся небольшим.</w:t>
            </w:r>
          </w:p>
        </w:tc>
      </w:tr>
      <w:tr>
        <w:tc>
          <w:tcPr/>
          <w:p>
            <w:pPr>
              <w:pStyle w:val="Compact"/>
            </w:pPr>
            <w:r>
              <w:t xml:space="preserve">WER улучшается, но CER ухудшается</w:t>
            </w:r>
          </w:p>
        </w:tc>
        <w:tc>
          <w:tcPr/>
          <w:p>
            <w:pPr>
              <w:pStyle w:val="Compact"/>
              <w:jc w:val="right"/>
            </w:pPr>
            <w:r>
              <w:t xml:space="preserve">56</w:t>
            </w:r>
          </w:p>
        </w:tc>
        <w:tc>
          <w:tcPr/>
          <w:p>
            <w:pPr>
              <w:pStyle w:val="Compact"/>
              <w:jc w:val="right"/>
            </w:pPr>
            <w:r>
              <w:t xml:space="preserve">0.3400</w:t>
            </w:r>
          </w:p>
        </w:tc>
        <w:tc>
          <w:tcPr/>
          <w:p>
            <w:pPr>
              <w:pStyle w:val="Compact"/>
              <w:jc w:val="right"/>
            </w:pPr>
            <w:r>
              <w:t xml:space="preserve">0.5157</w:t>
            </w:r>
          </w:p>
        </w:tc>
        <w:tc>
          <w:tcPr/>
          <w:p>
            <w:pPr>
              <w:pStyle w:val="Compact"/>
              <w:jc w:val="right"/>
            </w:pPr>
            <w:r>
              <w:t xml:space="preserve">0.3392</w:t>
            </w:r>
          </w:p>
        </w:tc>
        <w:tc>
          <w:tcPr/>
          <w:p>
            <w:pPr>
              <w:pStyle w:val="Compact"/>
              <w:jc w:val="right"/>
            </w:pPr>
            <w:r>
              <w:t xml:space="preserve">1.1273</w:t>
            </w:r>
          </w:p>
        </w:tc>
        <w:tc>
          <w:tcPr/>
          <w:p>
            <w:pPr>
              <w:pStyle w:val="Compact"/>
              <w:jc w:val="right"/>
            </w:pPr>
            <w:r>
              <w:t xml:space="preserve">0.8970</w:t>
            </w:r>
          </w:p>
        </w:tc>
        <w:tc>
          <w:tcPr/>
          <w:p>
            <w:pPr>
              <w:pStyle w:val="Compact"/>
              <w:jc w:val="right"/>
            </w:pPr>
            <w:r>
              <w:t xml:space="preserve">1.1273</w:t>
            </w:r>
          </w:p>
        </w:tc>
        <w:tc>
          <w:tcPr/>
          <w:p>
            <w:pPr>
              <w:pStyle w:val="Compact"/>
            </w:pPr>
            <w:r>
              <w:t xml:space="preserve">Word-level метрика улучшается, но символный состав портится; strict guard почти возвращает исходный OCR.</w:t>
            </w:r>
          </w:p>
        </w:tc>
      </w:tr>
      <w:tr>
        <w:tc>
          <w:tcPr/>
          <w:p>
            <w:pPr>
              <w:pStyle w:val="Compact"/>
            </w:pPr>
            <w:r>
              <w:t xml:space="preserve">Сильное ухудшение без фильтрации</w:t>
            </w:r>
          </w:p>
        </w:tc>
        <w:tc>
          <w:tcPr/>
          <w:p>
            <w:pPr>
              <w:pStyle w:val="Compact"/>
              <w:jc w:val="right"/>
            </w:pPr>
            <w:r>
              <w:t xml:space="preserve">59</w:t>
            </w:r>
          </w:p>
        </w:tc>
        <w:tc>
          <w:tcPr/>
          <w:p>
            <w:pPr>
              <w:pStyle w:val="Compact"/>
              <w:jc w:val="right"/>
            </w:pPr>
            <w:r>
              <w:t xml:space="preserve">0.2982</w:t>
            </w:r>
          </w:p>
        </w:tc>
        <w:tc>
          <w:tcPr/>
          <w:p>
            <w:pPr>
              <w:pStyle w:val="Compact"/>
              <w:jc w:val="right"/>
            </w:pPr>
            <w:r>
              <w:t xml:space="preserve">0.6945</w:t>
            </w:r>
          </w:p>
        </w:tc>
        <w:tc>
          <w:tcPr/>
          <w:p>
            <w:pPr>
              <w:pStyle w:val="Compact"/>
              <w:jc w:val="right"/>
            </w:pPr>
            <w:r>
              <w:t xml:space="preserve">0.2974</w:t>
            </w:r>
          </w:p>
        </w:tc>
        <w:tc>
          <w:tcPr/>
          <w:p>
            <w:pPr>
              <w:pStyle w:val="Compact"/>
              <w:jc w:val="right"/>
            </w:pPr>
            <w:r>
              <w:t xml:space="preserve">0.8904</w:t>
            </w:r>
          </w:p>
        </w:tc>
        <w:tc>
          <w:tcPr/>
          <w:p>
            <w:pPr>
              <w:pStyle w:val="Compact"/>
              <w:jc w:val="right"/>
            </w:pPr>
            <w:r>
              <w:t xml:space="preserve">0.9726</w:t>
            </w:r>
          </w:p>
        </w:tc>
        <w:tc>
          <w:tcPr/>
          <w:p>
            <w:pPr>
              <w:pStyle w:val="Compact"/>
              <w:jc w:val="right"/>
            </w:pPr>
            <w:r>
              <w:t xml:space="preserve">0.8904</w:t>
            </w:r>
          </w:p>
        </w:tc>
        <w:tc>
          <w:tcPr/>
          <w:p>
            <w:pPr>
              <w:pStyle w:val="Compact"/>
            </w:pPr>
            <w:r>
              <w:t xml:space="preserve">Chunked ByT5 резко ухудшает CER; strict guard предотвращает почти весь ущерб.</w:t>
            </w:r>
          </w:p>
        </w:tc>
      </w:tr>
      <w:tr>
        <w:tc>
          <w:tcPr/>
          <w:p>
            <w:pPr>
              <w:pStyle w:val="Compact"/>
            </w:pPr>
            <w:r>
              <w:t xml:space="preserve">Guard спасает от неудачной коррекции</w:t>
            </w:r>
          </w:p>
        </w:tc>
        <w:tc>
          <w:tcPr/>
          <w:p>
            <w:pPr>
              <w:pStyle w:val="Compact"/>
              <w:jc w:val="right"/>
            </w:pPr>
            <w:r>
              <w:t xml:space="preserve">3</w:t>
            </w:r>
          </w:p>
        </w:tc>
        <w:tc>
          <w:tcPr/>
          <w:p>
            <w:pPr>
              <w:pStyle w:val="Compact"/>
              <w:jc w:val="right"/>
            </w:pPr>
            <w:r>
              <w:t xml:space="preserve">0.2448</w:t>
            </w:r>
          </w:p>
        </w:tc>
        <w:tc>
          <w:tcPr/>
          <w:p>
            <w:pPr>
              <w:pStyle w:val="Compact"/>
              <w:jc w:val="right"/>
            </w:pPr>
            <w:r>
              <w:t xml:space="preserve">0.5176</w:t>
            </w:r>
          </w:p>
        </w:tc>
        <w:tc>
          <w:tcPr/>
          <w:p>
            <w:pPr>
              <w:pStyle w:val="Compact"/>
              <w:jc w:val="right"/>
            </w:pPr>
            <w:r>
              <w:t xml:space="preserve">0.2439</w:t>
            </w:r>
          </w:p>
        </w:tc>
        <w:tc>
          <w:tcPr/>
          <w:p>
            <w:pPr>
              <w:pStyle w:val="Compact"/>
              <w:jc w:val="right"/>
            </w:pPr>
            <w:r>
              <w:t xml:space="preserve">0.8070</w:t>
            </w:r>
          </w:p>
        </w:tc>
        <w:tc>
          <w:tcPr/>
          <w:p>
            <w:pPr>
              <w:pStyle w:val="Compact"/>
              <w:jc w:val="right"/>
            </w:pPr>
            <w:r>
              <w:t xml:space="preserve">0.8363</w:t>
            </w:r>
          </w:p>
        </w:tc>
        <w:tc>
          <w:tcPr/>
          <w:p>
            <w:pPr>
              <w:pStyle w:val="Compact"/>
              <w:jc w:val="right"/>
            </w:pPr>
            <w:r>
              <w:t xml:space="preserve">0.8070</w:t>
            </w:r>
          </w:p>
        </w:tc>
        <w:tc>
          <w:tcPr/>
          <w:p>
            <w:pPr>
              <w:pStyle w:val="Compact"/>
            </w:pPr>
            <w:r>
              <w:t xml:space="preserve">Без фильтрации модель сильно портит страницу, а strict guard фактически оставляет исходный OCR.</w:t>
            </w:r>
          </w:p>
        </w:tc>
      </w:tr>
    </w:tbl>
    <w:p>
      <w:pPr>
        <w:pStyle w:val="BodyText"/>
      </w:pPr>
      <w:r>
        <w:t xml:space="preserve">Эти случаи уточняют общий вывод page-level эксперимента. ByT5-small иногда улучшает целую страницу, но таких случаев мало. Гораздо чаще модель, обученная только на синтетическом шуме, изменяет символный состав страницы в худшую сторону. При этом strict guarded вариант полезен как защитный механизм: он не превращает модель в более сильную систему, но снижает риск грубого ухудшения. Поэтому практическое продолжение работы должно опираться не только на синтетический генератор, а на выровненные OCR/reference-фрагменты и обучение на настоящих ошибках OCR.</w:t>
      </w:r>
    </w:p>
    <w:bookmarkEnd w:id="66"/>
    <w:bookmarkStart w:id="67"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7"/>
    <w:bookmarkEnd w:id="68"/>
    <w:bookmarkStart w:id="75" w:name="Xe8e02886c60b8939714d6e867e04f7997a20272"/>
    <w:p>
      <w:pPr>
        <w:pStyle w:val="Heading2"/>
      </w:pPr>
      <w:r>
        <w:t xml:space="preserve">6. Ограничения и направления дальнейшей работы</w:t>
      </w:r>
    </w:p>
    <w:bookmarkStart w:id="69"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9"/>
    <w:bookmarkStart w:id="70"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70"/>
    <w:bookmarkStart w:id="71"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71"/>
    <w:bookmarkStart w:id="72"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2"/>
    <w:bookmarkStart w:id="73"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3"/>
    <w:bookmarkStart w:id="74"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4"/>
    <w:bookmarkEnd w:id="75"/>
    <w:bookmarkStart w:id="76"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число ухудшенных страниц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6"/>
    <w:bookmarkEnd w:id="77"/>
    <w:bookmarkStart w:id="78"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2026-06-24T20:40:27Z</dcterms:created>
  <dcterms:modified xsi:type="dcterms:W3CDTF">2026-06-24T20:40:27Z</dcterms:modified>
</cp:coreProperties>
</file>

<file path=docProps/custom.xml><?xml version="1.0" encoding="utf-8"?>
<Properties xmlns="http://schemas.openxmlformats.org/officeDocument/2006/custom-properties" xmlns:vt="http://schemas.openxmlformats.org/officeDocument/2006/docPropsVTypes"/>
</file>