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0.png" ContentType="image/png"/>
  <Override PartName="/word/media/rId455.png" ContentType="image/png"/>
  <Override PartName="/word/media/rId429.png" ContentType="image/png"/>
  <Override PartName="/word/media/rId468.png" ContentType="image/png"/>
  <Override PartName="/word/media/rId472.png" ContentType="image/png"/>
  <Override PartName="/word/media/rId361.png" ContentType="image/png"/>
  <Override PartName="/word/media/rId376.png" ContentType="image/png"/>
  <Override PartName="/word/media/rId350.png" ContentType="image/png"/>
  <Override PartName="/word/media/rId389.png" ContentType="image/png"/>
  <Override PartName="/word/media/rId393.png" ContentType="image/png"/>
  <Override PartName="/word/media/rId45.png" ContentType="image/png"/>
  <Override PartName="/word/media/rId60.png" ContentType="image/png"/>
  <Override PartName="/word/media/rId34.png" ContentType="image/png"/>
  <Override PartName="/word/media/rId73.png" ContentType="image/png"/>
  <Override PartName="/word/media/rId77.png" ContentType="image/png"/>
  <Override PartName="/word/media/rId124.png" ContentType="image/png"/>
  <Override PartName="/word/media/rId139.png" ContentType="image/png"/>
  <Override PartName="/word/media/rId113.png" ContentType="image/png"/>
  <Override PartName="/word/media/rId152.png" ContentType="image/png"/>
  <Override PartName="/word/media/rId156.png" ContentType="image/png"/>
  <Override PartName="/word/media/rId203.png" ContentType="image/png"/>
  <Override PartName="/word/media/rId218.png" ContentType="image/png"/>
  <Override PartName="/word/media/rId192.png" ContentType="image/png"/>
  <Override PartName="/word/media/rId231.png" ContentType="image/png"/>
  <Override PartName="/word/media/rId235.png" ContentType="image/png"/>
  <Override PartName="/word/media/rId282.png" ContentType="image/png"/>
  <Override PartName="/word/media/rId297.png" ContentType="image/png"/>
  <Override PartName="/word/media/rId271.png" ContentType="image/png"/>
  <Override PartName="/word/media/rId310.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p>
    <w:p>
      <w:pPr>
        <w:pStyle w:val="BodyText"/>
      </w:pPr>
    </w:p>
    <w:p>
      <w:pPr>
        <w:pStyle w:val="BodyText"/>
      </w:pPr>
      <w:r>
        <w:t xml:space="preserve">Москва, 2026</w:t>
      </w:r>
    </w:p>
    <w:p>
      <w:r>
        <w:br w:type="page"/>
      </w:r>
    </w:p>
    <w:bookmarkStart w:id="402"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402"/>
    <w:bookmarkStart w:id="403"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403"/>
    <w:bookmarkStart w:id="488" w:name="содержание"/>
    <w:p>
      <w:pPr>
        <w:pStyle w:val="Heading1"/>
      </w:pPr>
      <w:r>
        <w:t xml:space="preserve">Содержание</w:t>
      </w:r>
    </w:p>
    <w:p>
      <w:pPr>
        <w:pStyle w:val="Compact"/>
        <w:numPr>
          <w:ilvl w:val="0"/>
          <w:numId w:val="1001"/>
        </w:numPr>
      </w:pPr>
      <w:r>
        <w:t xml:space="preserve">Введение</w:t>
      </w:r>
    </w:p>
    <w:p>
      <w:pPr>
        <w:pStyle w:val="FirstParagraph"/>
      </w:pPr>
      <w:r>
        <w:t xml:space="preserve">1.1 Актуальность</w:t>
      </w:r>
    </w:p>
    <w:p>
      <w:pPr>
        <w:pStyle w:val="BodyText"/>
      </w:pPr>
      <w:r>
        <w:t xml:space="preserve">1.2 Постановка проблемы</w:t>
      </w:r>
    </w:p>
    <w:p>
      <w:pPr>
        <w:pStyle w:val="BodyText"/>
      </w:pPr>
      <w:r>
        <w:t xml:space="preserve">1.3 Цель работы</w:t>
      </w:r>
    </w:p>
    <w:p>
      <w:pPr>
        <w:pStyle w:val="BodyText"/>
      </w:pPr>
      <w:r>
        <w:t xml:space="preserve">1.4 Задачи работы</w:t>
      </w:r>
    </w:p>
    <w:p>
      <w:pPr>
        <w:pStyle w:val="BodyText"/>
      </w:pPr>
      <w:r>
        <w:t xml:space="preserve">1.5 Объект и предмет исследования</w:t>
      </w:r>
    </w:p>
    <w:p>
      <w:pPr>
        <w:pStyle w:val="BodyText"/>
      </w:pPr>
      <w:r>
        <w:t xml:space="preserve">1.6 Исследовательские вопросы</w:t>
      </w:r>
    </w:p>
    <w:p>
      <w:pPr>
        <w:pStyle w:val="BodyText"/>
      </w:pPr>
      <w:r>
        <w:t xml:space="preserve">1.7 Гипотезы</w:t>
      </w:r>
    </w:p>
    <w:p>
      <w:pPr>
        <w:pStyle w:val="BodyText"/>
      </w:pPr>
      <w:r>
        <w:t xml:space="preserve">1.8 Практическая значимость</w:t>
      </w:r>
    </w:p>
    <w:p>
      <w:pPr>
        <w:pStyle w:val="BodyText"/>
      </w:pPr>
      <w:r>
        <w:t xml:space="preserve">1.9 Структура работы</w:t>
      </w:r>
    </w:p>
    <w:p>
      <w:pPr>
        <w:pStyle w:val="Compact"/>
        <w:numPr>
          <w:ilvl w:val="0"/>
          <w:numId w:val="1002"/>
        </w:numPr>
      </w:pPr>
      <w:r>
        <w:t xml:space="preserve">Обзор предметной области и связанных работ</w:t>
      </w:r>
    </w:p>
    <w:p>
      <w:pPr>
        <w:pStyle w:val="FirstParagraph"/>
      </w:pPr>
      <w:r>
        <w:t xml:space="preserve">2.1 OCR исторических документов как воспроизводимый процесс</w:t>
      </w:r>
    </w:p>
    <w:p>
      <w:pPr>
        <w:pStyle w:val="BodyText"/>
      </w:pPr>
      <w:r>
        <w:t xml:space="preserve">2.2 Специфика арабографичного OCR</w:t>
      </w:r>
    </w:p>
    <w:p>
      <w:pPr>
        <w:pStyle w:val="BodyText"/>
      </w:pPr>
      <w:r>
        <w:t xml:space="preserve">2.3 Тюркские тексты в арабской графике и османско-турецкий материал</w:t>
      </w:r>
    </w:p>
    <w:p>
      <w:pPr>
        <w:pStyle w:val="BodyText"/>
      </w:pPr>
      <w:r>
        <w:t xml:space="preserve">2.4 Посткоррекция OCR как преобразование искажённого текста в эталонный</w:t>
      </w:r>
    </w:p>
    <w:p>
      <w:pPr>
        <w:pStyle w:val="BodyText"/>
      </w:pPr>
      <w:r>
        <w:t xml:space="preserve">2.5 Синтетические данные для посткоррекции OCR</w:t>
      </w:r>
    </w:p>
    <w:p>
      <w:pPr>
        <w:pStyle w:val="BodyText"/>
      </w:pPr>
      <w:r>
        <w:t xml:space="preserve">2.6 Модели с байтовым представлением и выбор ByT5</w:t>
      </w:r>
    </w:p>
    <w:p>
      <w:pPr>
        <w:pStyle w:val="BodyText"/>
      </w:pPr>
      <w:r>
        <w:t xml:space="preserve">2.7 Позиция данной работы относительно существующих исследований</w:t>
      </w:r>
    </w:p>
    <w:p>
      <w:pPr>
        <w:pStyle w:val="BodyText"/>
      </w:pPr>
      <w:r>
        <w:t xml:space="preserve">2.8 Выводы и результаты по главе</w:t>
      </w:r>
    </w:p>
    <w:p>
      <w:pPr>
        <w:pStyle w:val="Compact"/>
        <w:numPr>
          <w:ilvl w:val="0"/>
          <w:numId w:val="1003"/>
        </w:numPr>
      </w:pPr>
      <w:r>
        <w:t xml:space="preserve">Данные и построение корпуса</w:t>
      </w:r>
    </w:p>
    <w:p>
      <w:pPr>
        <w:pStyle w:val="FirstParagraph"/>
      </w:pPr>
      <w:r>
        <w:t xml:space="preserve">3.1 Общая постановка</w:t>
      </w:r>
    </w:p>
    <w:p>
      <w:pPr>
        <w:pStyle w:val="BodyText"/>
      </w:pPr>
      <w:r>
        <w:t xml:space="preserve">3.2 Источник данных</w:t>
      </w:r>
    </w:p>
    <w:p>
      <w:pPr>
        <w:pStyle w:val="BodyText"/>
      </w:pPr>
      <w:r>
        <w:t xml:space="preserve">3.3 Сбор и предварительная подготовка</w:t>
      </w:r>
    </w:p>
    <w:p>
      <w:pPr>
        <w:pStyle w:val="BodyText"/>
      </w:pPr>
      <w:r>
        <w:t xml:space="preserve">3.4 Синтетические OCR-подобные искажения</w:t>
      </w:r>
    </w:p>
    <w:p>
      <w:pPr>
        <w:pStyle w:val="BodyText"/>
      </w:pPr>
      <w:r>
        <w:t xml:space="preserve">3.5 Структура набора данных</w:t>
      </w:r>
    </w:p>
    <w:p>
      <w:pPr>
        <w:pStyle w:val="BodyText"/>
      </w:pPr>
      <w:r>
        <w:t xml:space="preserve">3.6 Разбиение на обучающую, валидационную и тестовую выборки</w:t>
      </w:r>
    </w:p>
    <w:p>
      <w:pPr>
        <w:pStyle w:val="BodyText"/>
      </w:pPr>
      <w:r>
        <w:t xml:space="preserve">3.7 Контроль утечки данных</w:t>
      </w:r>
    </w:p>
    <w:p>
      <w:pPr>
        <w:pStyle w:val="BodyText"/>
      </w:pPr>
      <w:r>
        <w:t xml:space="preserve">3.8 Ограничения корпуса</w:t>
      </w:r>
    </w:p>
    <w:p>
      <w:pPr>
        <w:pStyle w:val="BodyText"/>
      </w:pPr>
      <w:r>
        <w:t xml:space="preserve">3.9 Выводы и результаты по главе</w:t>
      </w:r>
    </w:p>
    <w:p>
      <w:pPr>
        <w:pStyle w:val="Compact"/>
        <w:numPr>
          <w:ilvl w:val="0"/>
          <w:numId w:val="1004"/>
        </w:numPr>
      </w:pPr>
      <w:r>
        <w:t xml:space="preserve">Методология эксперимента</w:t>
      </w:r>
    </w:p>
    <w:p>
      <w:pPr>
        <w:pStyle w:val="FirstParagraph"/>
      </w:pPr>
      <w:r>
        <w:t xml:space="preserve">4.1 Общая схема эксперимента</w:t>
      </w:r>
    </w:p>
    <w:p>
      <w:pPr>
        <w:pStyle w:val="BodyText"/>
      </w:pPr>
      <w:r>
        <w:t xml:space="preserve">4.2 Базовые методы</w:t>
      </w:r>
    </w:p>
    <w:p>
      <w:pPr>
        <w:pStyle w:val="BodyText"/>
      </w:pPr>
      <w:r>
        <w:t xml:space="preserve">4.3 Символьный метод на основе ошибок обучающей выборки</w:t>
      </w:r>
    </w:p>
    <w:p>
      <w:pPr>
        <w:pStyle w:val="BodyText"/>
      </w:pPr>
      <w:r>
        <w:t xml:space="preserve">4.4 Нейросетевая модель ByT5-small</w:t>
      </w:r>
    </w:p>
    <w:p>
      <w:pPr>
        <w:pStyle w:val="BodyText"/>
      </w:pPr>
      <w:r>
        <w:t xml:space="preserve">4.5 Проверенные конфигурации</w:t>
      </w:r>
    </w:p>
    <w:p>
      <w:pPr>
        <w:pStyle w:val="BodyText"/>
      </w:pPr>
      <w:r>
        <w:t xml:space="preserve">4.6 Метрики качества</w:t>
      </w:r>
    </w:p>
    <w:p>
      <w:pPr>
        <w:pStyle w:val="BodyText"/>
      </w:pPr>
      <w:r>
        <w:t xml:space="preserve">4.7 Процедура оценки</w:t>
      </w:r>
    </w:p>
    <w:p>
      <w:pPr>
        <w:pStyle w:val="BodyText"/>
      </w:pPr>
      <w:r>
        <w:t xml:space="preserve">4.8 Анализ ошибок</w:t>
      </w:r>
    </w:p>
    <w:p>
      <w:pPr>
        <w:pStyle w:val="BodyText"/>
      </w:pPr>
      <w:r>
        <w:t xml:space="preserve">4.9 Воспроизводимость</w:t>
      </w:r>
    </w:p>
    <w:p>
      <w:pPr>
        <w:pStyle w:val="BodyText"/>
      </w:pPr>
      <w:r>
        <w:t xml:space="preserve">4.10 Выводы и результаты по главе</w:t>
      </w:r>
    </w:p>
    <w:p>
      <w:pPr>
        <w:pStyle w:val="Compact"/>
        <w:numPr>
          <w:ilvl w:val="0"/>
          <w:numId w:val="1005"/>
        </w:numPr>
      </w:pPr>
      <w:r>
        <w:t xml:space="preserve">Результаты экспериментов и анализ ошибок</w:t>
      </w:r>
    </w:p>
    <w:p>
      <w:pPr>
        <w:pStyle w:val="FirstParagraph"/>
      </w:pPr>
      <w:r>
        <w:t xml:space="preserve">5.1 Общая логика оценки</w:t>
      </w:r>
    </w:p>
    <w:p>
      <w:pPr>
        <w:pStyle w:val="BodyText"/>
      </w:pPr>
      <w:r>
        <w:t xml:space="preserve">5.2 Итоговые метрики</w:t>
      </w:r>
    </w:p>
    <w:p>
      <w:pPr>
        <w:pStyle w:val="BodyText"/>
      </w:pPr>
      <w:r>
        <w:t xml:space="preserve">5.3 Сравнение с методом без исправления</w:t>
      </w:r>
    </w:p>
    <w:p>
      <w:pPr>
        <w:pStyle w:val="BodyText"/>
      </w:pPr>
      <w:r>
        <w:t xml:space="preserve">5.4 Нормализатор на правилах</w:t>
      </w:r>
    </w:p>
    <w:p>
      <w:pPr>
        <w:pStyle w:val="BodyText"/>
      </w:pPr>
      <w:r>
        <w:t xml:space="preserve">5.5 Символьный метод на основе ошибок обучающей выборки</w:t>
      </w:r>
    </w:p>
    <w:p>
      <w:pPr>
        <w:pStyle w:val="BodyText"/>
      </w:pPr>
      <w:r>
        <w:t xml:space="preserve">5.6 Интерпретация снижения WER</w:t>
      </w:r>
    </w:p>
    <w:p>
      <w:pPr>
        <w:pStyle w:val="BodyText"/>
      </w:pPr>
      <w:r>
        <w:t xml:space="preserve">5.7 Влияние максимальной длины последовательности</w:t>
      </w:r>
    </w:p>
    <w:p>
      <w:pPr>
        <w:pStyle w:val="BodyText"/>
      </w:pPr>
      <w:r>
        <w:t xml:space="preserve">5.8 Распределение улучшенных и ухудшенных примеров</w:t>
      </w:r>
    </w:p>
    <w:p>
      <w:pPr>
        <w:pStyle w:val="BodyText"/>
      </w:pPr>
      <w:r>
        <w:t xml:space="preserve">5.9 Среднее улучшение по примерам</w:t>
      </w:r>
    </w:p>
    <w:p>
      <w:pPr>
        <w:pStyle w:val="BodyText"/>
      </w:pPr>
      <w:r>
        <w:t xml:space="preserve">5.10 Интерпретация результатов</w:t>
      </w:r>
    </w:p>
    <w:p>
      <w:pPr>
        <w:pStyle w:val="BodyText"/>
      </w:pPr>
      <w:r>
        <w:t xml:space="preserve">5.11 Ограничения интерпретации</w:t>
      </w:r>
    </w:p>
    <w:p>
      <w:pPr>
        <w:pStyle w:val="BodyText"/>
      </w:pPr>
      <w:r>
        <w:t xml:space="preserve">5.12 Проверка переноса на постраничном реальном OCR</w:t>
      </w:r>
    </w:p>
    <w:p>
      <w:pPr>
        <w:pStyle w:val="BodyText"/>
      </w:pPr>
      <w:r>
        <w:t xml:space="preserve">5.13 Постраничное поведение модели</w:t>
      </w:r>
    </w:p>
    <w:p>
      <w:pPr>
        <w:pStyle w:val="BodyText"/>
      </w:pPr>
      <w:r>
        <w:t xml:space="preserve">5.14 Качественная интерпретация real OCR</w:t>
      </w:r>
    </w:p>
    <w:p>
      <w:pPr>
        <w:pStyle w:val="BodyText"/>
      </w:pPr>
      <w:r>
        <w:t xml:space="preserve">5.15 Выводы и результаты по главе</w:t>
      </w:r>
    </w:p>
    <w:p>
      <w:pPr>
        <w:pStyle w:val="Compact"/>
        <w:numPr>
          <w:ilvl w:val="0"/>
          <w:numId w:val="1006"/>
        </w:numPr>
      </w:pPr>
      <w:r>
        <w:t xml:space="preserve">Ограничения и направления дальнейшей работы</w:t>
      </w:r>
    </w:p>
    <w:p>
      <w:pPr>
        <w:pStyle w:val="FirstParagraph"/>
      </w:pPr>
      <w:r>
        <w:t xml:space="preserve">6.1 Ограничения корпуса</w:t>
      </w:r>
    </w:p>
    <w:p>
      <w:pPr>
        <w:pStyle w:val="BodyText"/>
      </w:pPr>
      <w:r>
        <w:t xml:space="preserve">6.2 Ограничения синтетического шума</w:t>
      </w:r>
    </w:p>
    <w:p>
      <w:pPr>
        <w:pStyle w:val="BodyText"/>
      </w:pPr>
      <w:r>
        <w:t xml:space="preserve">6.3 Ограничения метрик</w:t>
      </w:r>
    </w:p>
    <w:p>
      <w:pPr>
        <w:pStyle w:val="BodyText"/>
      </w:pPr>
      <w:r>
        <w:t xml:space="preserve">6.4 Ограничения проверки на реальном OCR</w:t>
      </w:r>
    </w:p>
    <w:p>
      <w:pPr>
        <w:pStyle w:val="BodyText"/>
      </w:pPr>
      <w:r>
        <w:t xml:space="preserve">6.5 Следующий набор данных</w:t>
      </w:r>
    </w:p>
    <w:p>
      <w:pPr>
        <w:pStyle w:val="BodyText"/>
      </w:pPr>
      <w:r>
        <w:t xml:space="preserve">6.6 Переход к системе анализа исторических источников</w:t>
      </w:r>
    </w:p>
    <w:p>
      <w:pPr>
        <w:pStyle w:val="BodyText"/>
      </w:pPr>
      <w:r>
        <w:t xml:space="preserve">6.7 Выводы и результаты по главе</w:t>
      </w:r>
    </w:p>
    <w:p>
      <w:pPr>
        <w:pStyle w:val="Compact"/>
        <w:numPr>
          <w:ilvl w:val="0"/>
          <w:numId w:val="1007"/>
        </w:numPr>
      </w:pPr>
      <w:r>
        <w:t xml:space="preserve">Заключение</w:t>
      </w:r>
    </w:p>
    <w:p>
      <w:pPr>
        <w:pStyle w:val="FirstParagraph"/>
      </w:pPr>
      <w:r>
        <w:t xml:space="preserve">Библиографический список</w:t>
      </w:r>
      <w:r>
        <w:t xml:space="preserve"> </w:t>
      </w:r>
    </w:p>
    <w:bookmarkStart w:id="404"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404"/>
    <w:bookmarkStart w:id="405"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405"/>
    <w:bookmarkStart w:id="406"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406"/>
    <w:bookmarkStart w:id="407"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407"/>
    <w:bookmarkStart w:id="408"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8"/>
        </w:numPr>
      </w:pPr>
      <w:r>
        <w:t xml:space="preserve">Описать особенности автоматической обработки тюркских текстов в арабской графике.</w:t>
      </w:r>
    </w:p>
    <w:p>
      <w:pPr>
        <w:pStyle w:val="Compact"/>
        <w:numPr>
          <w:ilvl w:val="0"/>
          <w:numId w:val="1008"/>
        </w:numPr>
      </w:pPr>
      <w:r>
        <w:t xml:space="preserve">Собрать небольшой корпус тюркского текста в арабской графике и зафиксировать его ограничения.</w:t>
      </w:r>
    </w:p>
    <w:p>
      <w:pPr>
        <w:pStyle w:val="Compact"/>
        <w:numPr>
          <w:ilvl w:val="0"/>
          <w:numId w:val="1008"/>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8"/>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8"/>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8"/>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8"/>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8"/>
        </w:numPr>
      </w:pPr>
      <w:r>
        <w:t xml:space="preserve">Проверить перенос на реальный OCR-вывод Tesseract и сформулировать ограничения синтетического обучения.</w:t>
      </w:r>
    </w:p>
    <w:bookmarkEnd w:id="408"/>
    <w:bookmarkStart w:id="409"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409"/>
    <w:bookmarkStart w:id="410"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9"/>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9"/>
        </w:numPr>
      </w:pPr>
      <w:r>
        <w:t xml:space="preserve">Достаточны ли простые правила и символьные замены для такой задачи?</w:t>
      </w:r>
    </w:p>
    <w:p>
      <w:pPr>
        <w:pStyle w:val="Compact"/>
        <w:numPr>
          <w:ilvl w:val="0"/>
          <w:numId w:val="1009"/>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9"/>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9"/>
        </w:numPr>
      </w:pPr>
      <w:r>
        <w:t xml:space="preserve">Сохраняется ли выигрыш модели, обученной на синтетических ошибках, на реальном OCR-выводе Tesseract?</w:t>
      </w:r>
    </w:p>
    <w:bookmarkEnd w:id="410"/>
    <w:bookmarkStart w:id="411"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411"/>
    <w:bookmarkStart w:id="412"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412"/>
    <w:bookmarkStart w:id="413"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413"/>
    <w:bookmarkStart w:id="422" w:name="X0ceba565ddc4689162e5800a39ee266fa2dc29a"/>
    <w:p>
      <w:pPr>
        <w:pStyle w:val="Heading2"/>
      </w:pPr>
      <w:r>
        <w:t xml:space="preserve">2. Обзор предметной области и связанных работ</w:t>
      </w:r>
    </w:p>
    <w:bookmarkStart w:id="414"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414"/>
    <w:bookmarkStart w:id="415"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415"/>
    <w:bookmarkStart w:id="416"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416"/>
    <w:bookmarkStart w:id="417"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417"/>
    <w:bookmarkStart w:id="418"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418"/>
    <w:bookmarkStart w:id="419"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419"/>
    <w:bookmarkStart w:id="420"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420"/>
    <w:bookmarkStart w:id="421" w:name="выводы-и-результаты-по-главе"/>
    <w:p>
      <w:pPr>
        <w:pStyle w:val="Heading3"/>
      </w:pPr>
      <w:r>
        <w:t xml:space="preserve">2.8 Выводы и результаты по главе</w:t>
      </w:r>
    </w:p>
    <w:p>
      <w:pPr>
        <w:pStyle w:val="FirstParagraph"/>
      </w:pPr>
      <w: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pPr>
      <w: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421"/>
    <w:bookmarkEnd w:id="422"/>
    <w:bookmarkStart w:id="439" w:name="данные-и-построение-корпуса"/>
    <w:p>
      <w:pPr>
        <w:pStyle w:val="Heading2"/>
      </w:pPr>
      <w:r>
        <w:t xml:space="preserve">3. Данные и построение корпуса</w:t>
      </w:r>
    </w:p>
    <w:bookmarkStart w:id="423"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423"/>
    <w:bookmarkStart w:id="424"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424"/>
    <w:bookmarkStart w:id="425"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425"/>
    <w:bookmarkStart w:id="426"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426"/>
    <w:bookmarkStart w:id="427"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pPr>
      <w:r>
        <w:rPr>
          <w:b/>
          <w:bCs/>
        </w:rPr>
        <w:t xml:space="preserve">Таблица 3.1 — Типы синтетических OCR-подобных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427"/>
    <w:bookmarkStart w:id="428"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pPr>
      <w:r>
        <w:rPr>
          <w:b/>
          <w:bCs/>
        </w:rPr>
        <w:t xml:space="preserve">Таблица 3.2 — Количественная характеристика синтетического шума на тестовой выборке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428"/>
    <w:bookmarkStart w:id="432"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5334000" cy="2489200"/>
            <wp:effectExtent b="0" l="0" r="0" t="0"/>
            <wp:docPr descr="Рисунок 3.1 — Пример синтетического OCR-подобного искажения" title="" id="430" name="Picture"/>
            <a:graphic>
              <a:graphicData uri="http://schemas.openxmlformats.org/drawingml/2006/picture">
                <pic:pic>
                  <pic:nvPicPr>
                    <pic:cNvPr descr="figures/fig03_synthetic_example.png" id="431" name="Picture"/>
                    <pic:cNvPicPr>
                      <a:picLocks noChangeArrowheads="1" noChangeAspect="1"/>
                    </pic:cNvPicPr>
                  </pic:nvPicPr>
                  <pic:blipFill>
                    <a:blip r:embed="rId42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pPr>
      <w:r>
        <w:rPr>
          <w:b/>
          <w:bCs/>
        </w:rPr>
        <w:t xml:space="preserve">Таблица 3.3 — Примеры синтетических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432"/>
    <w:bookmarkStart w:id="433"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433"/>
    <w:bookmarkStart w:id="434"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434"/>
    <w:bookmarkStart w:id="435"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p>
      <w:pPr>
        <w:pStyle w:val="BodyText"/>
      </w:pPr>
      <w:r>
        <w:rPr>
          <w:b/>
          <w:bCs/>
        </w:rPr>
        <w:t xml:space="preserve">Таблица 3.4 — Разбиение корпуса на обучающую, валидационную и тестовую выборки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435"/>
    <w:bookmarkStart w:id="436"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p>
      <w:pPr>
        <w:pStyle w:val="BodyText"/>
      </w:pPr>
      <w:r>
        <w:rPr>
          <w:b/>
          <w:bCs/>
        </w:rPr>
        <w:t xml:space="preserve">Таблица 3.5 — Проверка пересечения исходных строк между выборками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436"/>
    <w:bookmarkStart w:id="437"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437"/>
    <w:bookmarkStart w:id="438" w:name="выводы-и-результаты-по-главе-1"/>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438"/>
    <w:bookmarkEnd w:id="439"/>
    <w:bookmarkStart w:id="453" w:name="методология-эксперимента"/>
    <w:p>
      <w:pPr>
        <w:pStyle w:val="Heading2"/>
      </w:pPr>
      <w:r>
        <w:t xml:space="preserve">4. Методология эксперимента</w:t>
      </w:r>
    </w:p>
    <w:bookmarkStart w:id="443"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5334000" cy="1666875"/>
            <wp:effectExtent b="0" l="0" r="0" t="0"/>
            <wp:docPr descr="Рисунок 4.1 — Общая схема протокола OCR-посткоррекции" title="" id="441" name="Picture"/>
            <a:graphic>
              <a:graphicData uri="http://schemas.openxmlformats.org/drawingml/2006/picture">
                <pic:pic>
                  <pic:nvPicPr>
                    <pic:cNvPr descr="figures/fig01_postcorrection_process.png" id="442" name="Picture"/>
                    <pic:cNvPicPr>
                      <a:picLocks noChangeArrowheads="1" noChangeAspect="1"/>
                    </pic:cNvPicPr>
                  </pic:nvPicPr>
                  <pic:blipFill>
                    <a:blip r:embed="rId440"/>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43"/>
    <w:bookmarkStart w:id="444"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444"/>
    <w:bookmarkStart w:id="445"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5"/>
    <w:bookmarkStart w:id="446"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46"/>
    <w:bookmarkStart w:id="447"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pPr>
      <w:r>
        <w:rPr>
          <w:b/>
          <w:bCs/>
        </w:rPr>
        <w:t xml:space="preserve">Таблица 4.1 — Проверенные конфигурации ByT5-small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47"/>
    <w:bookmarkStart w:id="448"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48"/>
    <w:bookmarkStart w:id="449"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449"/>
    <w:bookmarkStart w:id="450"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450"/>
    <w:bookmarkStart w:id="451"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451"/>
    <w:bookmarkStart w:id="452" w:name="выводы-и-результаты-по-главе-2"/>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452"/>
    <w:bookmarkEnd w:id="453"/>
    <w:bookmarkStart w:id="478" w:name="результаты-экспериментов-и-анализ-ошибок"/>
    <w:p>
      <w:pPr>
        <w:pStyle w:val="Heading2"/>
      </w:pPr>
      <w:r>
        <w:t xml:space="preserve">5. Результаты экспериментов и анализ ошибок</w:t>
      </w:r>
    </w:p>
    <w:bookmarkStart w:id="454"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454"/>
    <w:bookmarkStart w:id="458"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p>
      <w:pPr>
        <w:pStyle w:val="BodyText"/>
      </w:pPr>
      <w:r>
        <w:rPr>
          <w:b/>
          <w:bCs/>
        </w:rPr>
        <w:t xml:space="preserve">Таблица 5.1 — Итоговые метрики на синтетическом тестовом наборе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5334000" cy="2812472"/>
            <wp:effectExtent b="0" l="0" r="0" t="0"/>
            <wp:docPr descr="Рисунок 5.1 — Сравнение методов на синтетическом тестовом наборе" title="" id="456" name="Picture"/>
            <a:graphic>
              <a:graphicData uri="http://schemas.openxmlformats.org/drawingml/2006/picture">
                <pic:pic>
                  <pic:nvPicPr>
                    <pic:cNvPr descr="figures/fig02_synthetic_metrics.png" id="457" name="Picture"/>
                    <pic:cNvPicPr>
                      <a:picLocks noChangeArrowheads="1" noChangeAspect="1"/>
                    </pic:cNvPicPr>
                  </pic:nvPicPr>
                  <pic:blipFill>
                    <a:blip r:embed="rId455"/>
                    <a:stretch>
                      <a:fillRect/>
                    </a:stretch>
                  </pic:blipFill>
                  <pic:spPr bwMode="auto">
                    <a:xfrm>
                      <a:off x="0" y="0"/>
                      <a:ext cx="5334000" cy="2812472"/>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458"/>
    <w:bookmarkStart w:id="459"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459"/>
    <w:bookmarkStart w:id="460"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460"/>
    <w:bookmarkStart w:id="461"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461"/>
    <w:bookmarkStart w:id="462"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462"/>
    <w:bookmarkStart w:id="463"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463"/>
    <w:bookmarkStart w:id="464"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464"/>
    <w:bookmarkStart w:id="465"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465"/>
    <w:bookmarkStart w:id="466"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466"/>
    <w:bookmarkStart w:id="467"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467"/>
    <w:bookmarkStart w:id="471" w:name="X9ae740f4b068656258209a4fa61338553b28ec2"/>
    <w:p>
      <w:pPr>
        <w:pStyle w:val="Heading3"/>
      </w:pPr>
      <w:r>
        <w:t xml:space="preserve">5.12 Проверка переноса на постраничном реальном OCR</w:t>
      </w:r>
    </w:p>
    <w:p>
      <w:pPr>
        <w:pStyle w:val="CaptionedFigure"/>
      </w:pPr>
      <w:r>
        <w:drawing>
          <wp:inline>
            <wp:extent cx="5334000" cy="2489200"/>
            <wp:effectExtent b="0" l="0" r="0" t="0"/>
            <wp:docPr descr="Рисунок 5.2 — Пример фрагмента реального OCR-вывода Tesseract и проверенного эталона" title="" id="469" name="Picture"/>
            <a:graphic>
              <a:graphicData uri="http://schemas.openxmlformats.org/drawingml/2006/picture">
                <pic:pic>
                  <pic:nvPicPr>
                    <pic:cNvPr descr="figures/fig04_real_ocr_example.png" id="470" name="Picture"/>
                    <pic:cNvPicPr>
                      <a:picLocks noChangeArrowheads="1" noChangeAspect="1"/>
                    </pic:cNvPicPr>
                  </pic:nvPicPr>
                  <pic:blipFill>
                    <a:blip r:embed="rId468"/>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p>
      <w:pPr>
        <w:pStyle w:val="BodyText"/>
      </w:pPr>
      <w:r>
        <w:rPr>
          <w:b/>
          <w:bCs/>
        </w:rPr>
        <w:t xml:space="preserve">Таблица 5.2 — Проверка переноса на постраничном реальном OCR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p>
      <w:pPr>
        <w:pStyle w:val="BodyText"/>
      </w:pPr>
      <w:r>
        <w:rPr>
          <w:b/>
          <w:bCs/>
        </w:rPr>
        <w:t xml:space="preserve">Таблица 5.3 — Словные метрики переноса на реальном OCR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471"/>
    <w:bookmarkStart w:id="475" w:name="постраничное-поведение-модели"/>
    <w:p>
      <w:pPr>
        <w:pStyle w:val="Heading3"/>
      </w:pPr>
      <w:r>
        <w:t xml:space="preserve">5.13 Постраничное поведение модели</w:t>
      </w:r>
    </w:p>
    <w:p>
      <w:pPr>
        <w:pStyle w:val="CaptionedFigure"/>
      </w:pPr>
      <w:r>
        <w:drawing>
          <wp:inline>
            <wp:extent cx="5334000" cy="2690191"/>
            <wp:effectExtent b="0" l="0" r="0" t="0"/>
            <wp:docPr descr="Рисунок 5.3 — Средние ошибки real-OCR sanity по страницам" title="" id="473" name="Picture"/>
            <a:graphic>
              <a:graphicData uri="http://schemas.openxmlformats.org/drawingml/2006/picture">
                <pic:pic>
                  <pic:nvPicPr>
                    <pic:cNvPr descr="figures/fig05_real_ocr_page_metrics.png" id="474" name="Picture"/>
                    <pic:cNvPicPr>
                      <a:picLocks noChangeArrowheads="1" noChangeAspect="1"/>
                    </pic:cNvPicPr>
                  </pic:nvPicPr>
                  <pic:blipFill>
                    <a:blip r:embed="rId472"/>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pPr>
      <w:r>
        <w:rPr>
          <w:b/>
          <w:bCs/>
        </w:rPr>
        <w:t xml:space="preserve">Таблица 5.4 — Постраничное поведение модели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475"/>
    <w:bookmarkStart w:id="476"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476"/>
    <w:bookmarkStart w:id="477" w:name="выводы-и-результаты-по-главе-3"/>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477"/>
    <w:bookmarkEnd w:id="478"/>
    <w:bookmarkStart w:id="486" w:name="Xe8e02886c60b8939714d6e867e04f7997a20272"/>
    <w:p>
      <w:pPr>
        <w:pStyle w:val="Heading2"/>
      </w:pPr>
      <w:r>
        <w:t xml:space="preserve">6. Ограничения и направления дальнейшей работы</w:t>
      </w:r>
    </w:p>
    <w:bookmarkStart w:id="479"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479"/>
    <w:bookmarkStart w:id="480"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480"/>
    <w:bookmarkStart w:id="481"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481"/>
    <w:bookmarkStart w:id="482"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482"/>
    <w:bookmarkStart w:id="483"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483"/>
    <w:bookmarkStart w:id="484"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484"/>
    <w:bookmarkStart w:id="485" w:name="выводы-и-результаты-по-главе-4"/>
    <w:p>
      <w:pPr>
        <w:pStyle w:val="Heading3"/>
      </w:pPr>
      <w:r>
        <w:t xml:space="preserve">6.7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485"/>
    <w:bookmarkEnd w:id="486"/>
    <w:bookmarkStart w:id="487"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487"/>
    <w:bookmarkEnd w:id="488"/>
    <w:bookmarkStart w:id="489" w:name="библиографический-список"/>
    <w:p>
      <w:pPr>
        <w:pStyle w:val="Heading1"/>
      </w:pPr>
      <w:r>
        <w:t xml:space="preserve">Библиографический список</w:t>
      </w:r>
    </w:p>
    <w:p>
      <w:pPr>
        <w:numPr>
          <w:ilvl w:val="0"/>
          <w:numId w:val="1010"/>
        </w:numPr>
      </w:pPr>
      <w:r>
        <w:t xml:space="preserve">Vaswani A., Shazeer N., Parmar N., Uszkoreit J., Jones L., Gomez A. N., Kaiser L., Polosukhin I. Attention Is All You Need. 2017. arXiv:1706.03762. URL: https://arxiv.org/abs/1706.03762</w:t>
      </w:r>
    </w:p>
    <w:p>
      <w:pPr>
        <w:numPr>
          <w:ilvl w:val="0"/>
          <w:numId w:val="1010"/>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0"/>
        </w:numPr>
      </w:pPr>
      <w:r>
        <w:t xml:space="preserve">Xue L., Barua A., Constant N., Al-Rfou R., Narang S., Kale M., Roberts A., Raffel C. ByT5: Towards a token-free future with pre-trained byte-to-byte models. 2021. arXiv:2105.13626. URL: https://arxiv.org/abs/2105.13626</w:t>
      </w:r>
    </w:p>
    <w:p>
      <w:pPr>
        <w:numPr>
          <w:ilvl w:val="0"/>
          <w:numId w:val="1010"/>
        </w:numPr>
      </w:pPr>
      <w:r>
        <w:t xml:space="preserve">Ramirez-Orta J., Xamena E., Maguitman A., Milios E., Soto A. J. Post-OCR Document Correction with large Ensembles of Character Sequence-to-Sequence Models. 2021. arXiv:2109.06264. URL: https://arxiv.org/abs/2109.06264</w:t>
      </w:r>
    </w:p>
    <w:p>
      <w:pPr>
        <w:numPr>
          <w:ilvl w:val="0"/>
          <w:numId w:val="1010"/>
        </w:numPr>
      </w:pPr>
      <w:r>
        <w:t xml:space="preserve">Hämäläinen M., Hengchen S. From the Paft to the Fiiture: a Fully Automatic NMT and Word Embeddings Method for OCR Post-Correction. 2019. arXiv:1910.05535. URL: https://arxiv.org/abs/1910.05535</w:t>
      </w:r>
    </w:p>
    <w:p>
      <w:pPr>
        <w:numPr>
          <w:ilvl w:val="0"/>
          <w:numId w:val="1010"/>
        </w:numPr>
      </w:pPr>
      <w:r>
        <w:t xml:space="preserve">Duong Q., Hämäläinen M., Hengchen S. An Unsupervised method for OCR Post-Correction and Spelling Normalisation for Finnish. 2020. arXiv:2011.03502. URL: https://arxiv.org/abs/2011.03502</w:t>
      </w:r>
    </w:p>
    <w:p>
      <w:pPr>
        <w:numPr>
          <w:ilvl w:val="0"/>
          <w:numId w:val="1010"/>
        </w:numPr>
      </w:pPr>
      <w:r>
        <w:t xml:space="preserve">Suissa O., Elmalech A., Zhitomirsky-Geffet M. Optimizing the Neural Network Training for OCR Error Correction of Historical Hebrew Texts. 2023. arXiv:2307.16220. URL: https://arxiv.org/abs/2307.16220</w:t>
      </w:r>
    </w:p>
    <w:p>
      <w:pPr>
        <w:numPr>
          <w:ilvl w:val="0"/>
          <w:numId w:val="1010"/>
        </w:numPr>
      </w:pPr>
      <w:r>
        <w:t xml:space="preserve">Kanerva J., Ledins C., Käpyaho S., Ginter F. OCR Error Post-Correction with LLMs in Historical Documents: No Free Lunches. 2025. arXiv:2502.01205. URL: https://arxiv.org/abs/2502.01205</w:t>
      </w:r>
    </w:p>
    <w:p>
      <w:pPr>
        <w:numPr>
          <w:ilvl w:val="0"/>
          <w:numId w:val="1010"/>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0"/>
        </w:numPr>
      </w:pPr>
      <w:r>
        <w:t xml:space="preserve">Springmann U., Reul C., Dipper S., Baiter J. Ground Truth for training OCR engines on historical documents in German Fraktur and Early Modern Latin. 2018. arXiv:1809.05501. URL: https://arxiv.org/abs/1809.05501</w:t>
      </w:r>
    </w:p>
    <w:p>
      <w:pPr>
        <w:numPr>
          <w:ilvl w:val="0"/>
          <w:numId w:val="1010"/>
        </w:numPr>
      </w:pPr>
      <w:r>
        <w:t xml:space="preserve">Kasem M. S., Mahmoud M., Kang H.-S. Advancements and Challenges in Arabic Optical Character Recognition: A Comprehensive Survey. 2023. arXiv:2312.11812. URL: https://arxiv.org/abs/2312.11812</w:t>
      </w:r>
    </w:p>
    <w:p>
      <w:pPr>
        <w:numPr>
          <w:ilvl w:val="0"/>
          <w:numId w:val="1010"/>
        </w:numPr>
      </w:pPr>
      <w:r>
        <w:t xml:space="preserve">Osman H., Zaghw K., Hazem M., Elsehely S. An Efficient Language-Independent Multi-Font OCR for Arabic Script. 2020. arXiv:2009.09115. URL: https://arxiv.org/abs/2009.09115</w:t>
      </w:r>
    </w:p>
    <w:p>
      <w:pPr>
        <w:numPr>
          <w:ilvl w:val="0"/>
          <w:numId w:val="1010"/>
        </w:numPr>
      </w:pPr>
      <w:r>
        <w:t xml:space="preserve">Kirmizialtin S., Wrisley D. Automated Transcription of Non-Latin Script Periodicals: A Case Study in the Ottoman Turkish Print Archive. 2020. arXiv:2011.01139. URL: https://arxiv.org/abs/2011.01139</w:t>
      </w:r>
    </w:p>
    <w:p>
      <w:pPr>
        <w:numPr>
          <w:ilvl w:val="0"/>
          <w:numId w:val="1010"/>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0"/>
        </w:numPr>
      </w:pPr>
      <w:r>
        <w:t xml:space="preserve">Lyu L., Koutraki M., Krickl M., Fetahu B. Neural OCR Post-Hoc Correction of Historical Corpora. 2021. arXiv:2102.00583. URL: https://arxiv.org/abs/2102.00583</w:t>
      </w:r>
    </w:p>
    <w:p>
      <w:pPr>
        <w:numPr>
          <w:ilvl w:val="0"/>
          <w:numId w:val="1010"/>
        </w:numPr>
      </w:pPr>
      <w:r>
        <w:t xml:space="preserve">Rijhwani S., Rosenblum D., Anastasopoulos A., Neubig G. Lexically Aware Semi-Supervised Learning for OCR Post-Correction. 2021. arXiv:2111.02622. URL: https://arxiv.org/abs/2111.02622</w:t>
      </w:r>
    </w:p>
    <w:p>
      <w:pPr>
        <w:numPr>
          <w:ilvl w:val="0"/>
          <w:numId w:val="1010"/>
        </w:numPr>
      </w:pPr>
      <w:r>
        <w:t xml:space="preserve">Naiman J. P., Cosillo M. G., Williams P. K. G., Goodman A. Large Synthetic Data from the arXiv for OCR Post Correction of Historic Scientific Articles. 2023. arXiv:2309.11549. URL: https://arxiv.org/abs/2309.11549</w:t>
      </w:r>
    </w:p>
    <w:p>
      <w:pPr>
        <w:numPr>
          <w:ilvl w:val="0"/>
          <w:numId w:val="1010"/>
        </w:numPr>
      </w:pPr>
      <w:r>
        <w:t xml:space="preserve">Guan S., Greene D. Advancing Post-OCR Correction: A Comparative Study of Synthetic Data. 2024. arXiv:2408.02253. URL: https://arxiv.org/abs/2408.02253</w:t>
      </w:r>
    </w:p>
    <w:p>
      <w:pPr>
        <w:numPr>
          <w:ilvl w:val="0"/>
          <w:numId w:val="1010"/>
        </w:numPr>
      </w:pPr>
      <w:r>
        <w:t xml:space="preserve">Kashid H., Bhattacharyya P. RoundTripOCR: A Data Generation Technique for Enhancing Post-OCR Error Correction in Low-Resource Devanagari Languages. 2024. arXiv:2412.15248. URL: https://arxiv.org/abs/2412.15248</w:t>
      </w:r>
    </w:p>
    <w:p>
      <w:pPr>
        <w:numPr>
          <w:ilvl w:val="0"/>
          <w:numId w:val="1010"/>
        </w:numPr>
      </w:pPr>
      <w:r>
        <w:t xml:space="preserve">Li M., Lv T., Chen J., Cui L., Lu Y., Florencio D., Zhang C., Li Z., Wei F. TrOCR: Transformer-based Optical Character Recognition with Pre-trained Models. 2021. arXiv:2109.10282. URL: https://arxiv.org/abs/2109.10282</w:t>
      </w:r>
    </w:p>
    <w:bookmarkEnd w:id="489"/>
    <w:sectPr>
      <w:footerReference r:id="rId1" w:type="default"/>
      <w:footnotePr>
        <w:numRestart w:val="eachSect"/>
      </w:footnotePr>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eastAsia="Times New Roman" w:hAnsi="Times New Roman"/>
      <w:sz w:val="28"/>
    </w:rPr>
  </w:style>
  <w:style w:styleId="BodyText" w:type="paragraph">
    <w:name w:val="Body Text"/>
    <w:basedOn w:val="Normal"/>
    <w:link w:val="BodyTextChar"/>
    <w:qFormat/>
    <w:pPr>
      <w:spacing w:after="120" w:before="0" w:line="312" w:lineRule="auto"/>
      <w:ind w:firstLine="567"/>
      <w:jc w:val="both"/>
    </w:pPr>
    <w:rPr>
      <w:rFonts w:ascii="Times New Roman" w:eastAsia="Times New Roman" w:hAnsi="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eastAsia="Times New Roman" w:hAnsi="Times New Roman"/>
      <w:sz w:val="28"/>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asciiTheme="majorHAnsi" w:cstheme="majorBidi" w:eastAsia="Times New Roman" w:eastAsiaTheme="majorEastAsia" w:hAnsi="Times New Roman" w:hAnsiTheme="majorHAnsi"/>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asciiTheme="majorHAnsi" w:cstheme="majorBidi" w:eastAsia="Times New Roman" w:eastAsiaTheme="majorEastAsia" w:hAnsi="Times New Roman"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asciiTheme="majorHAnsi" w:cstheme="majorBidi" w:eastAsia="Times New Roman" w:eastAsiaTheme="majorEastAsia" w:hAnsi="Times New Roman" w:hAnsiTheme="majorHAnsi"/>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cstheme="majorBidi" w:eastAsia="Times New Roman" w:eastAsiaTheme="majorEastAsia" w:hAnsi="Times New Roman"/>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01" Target="numbering.xml" /><Relationship Type="http://schemas.openxmlformats.org/officeDocument/2006/relationships/styles" Id="rId400" Target="styles.xml" /><Relationship Type="http://schemas.openxmlformats.org/officeDocument/2006/relationships/settings" Id="rId399" Target="settings.xml" /><Relationship Type="http://schemas.openxmlformats.org/officeDocument/2006/relationships/webSettings" Id="rId398" Target="webSettings.xml" /><Relationship Type="http://schemas.openxmlformats.org/officeDocument/2006/relationships/fontTable" Id="rId397" Target="fontTable.xml" /><Relationship Type="http://schemas.openxmlformats.org/officeDocument/2006/relationships/theme" Id="rId396" Target="theme/theme1.xml" /><Relationship Type="http://schemas.openxmlformats.org/officeDocument/2006/relationships/footnotes" Id="rId395" Target="footnotes.xml" /><Relationship Type="http://schemas.openxmlformats.org/officeDocument/2006/relationships/comments" Id="rId394" Target="comments.xml" /><Relationship Id="rId45" Target="media/rId45.png" Type="http://schemas.openxmlformats.org/officeDocument/2006/relationships/image" /><Relationship Id="rId60" Target="media/rId60.png" Type="http://schemas.openxmlformats.org/officeDocument/2006/relationships/image" /><Relationship Id="rId34" Target="media/rId34.png" Type="http://schemas.openxmlformats.org/officeDocument/2006/relationships/image" /><Relationship Id="rId73" Target="media/rId73.png" Type="http://schemas.openxmlformats.org/officeDocument/2006/relationships/image" /><Relationship Id="rId77" Target="media/rId77.png" Type="http://schemas.openxmlformats.org/officeDocument/2006/relationships/image" /><Relationship Id="rId124" Target="media/rId124.png" Type="http://schemas.openxmlformats.org/officeDocument/2006/relationships/image" /><Relationship Id="rId139" Target="media/rId139.png" Type="http://schemas.openxmlformats.org/officeDocument/2006/relationships/image" /><Relationship Id="rId113" Target="media/rId113.png" Type="http://schemas.openxmlformats.org/officeDocument/2006/relationships/image" /><Relationship Id="rId152" Target="media/rId152.png" Type="http://schemas.openxmlformats.org/officeDocument/2006/relationships/image" /><Relationship Id="rId156" Target="media/rId156.png" Type="http://schemas.openxmlformats.org/officeDocument/2006/relationships/image" /><Relationship Id="rId1" Target="footer1.xml" Type="http://schemas.openxmlformats.org/officeDocument/2006/relationships/footer" /><Relationship Id="rId203" Target="media/rId203.png" Type="http://schemas.openxmlformats.org/officeDocument/2006/relationships/image" /><Relationship Id="rId218" Target="media/rId218.png" Type="http://schemas.openxmlformats.org/officeDocument/2006/relationships/image" /><Relationship Id="rId192" Target="media/rId192.png" Type="http://schemas.openxmlformats.org/officeDocument/2006/relationships/image" /><Relationship Id="rId231" Target="media/rId231.png" Type="http://schemas.openxmlformats.org/officeDocument/2006/relationships/image" /><Relationship Id="rId235" Target="media/rId235.png" Type="http://schemas.openxmlformats.org/officeDocument/2006/relationships/image" /><Relationship Id="rId282" Target="media/rId282.png" Type="http://schemas.openxmlformats.org/officeDocument/2006/relationships/image" /><Relationship Id="rId297" Target="media/rId297.png" Type="http://schemas.openxmlformats.org/officeDocument/2006/relationships/image" /><Relationship Id="rId271" Target="media/rId271.png" Type="http://schemas.openxmlformats.org/officeDocument/2006/relationships/image" /><Relationship Id="rId310" Target="media/rId310.png" Type="http://schemas.openxmlformats.org/officeDocument/2006/relationships/image" /><Relationship Id="rId314" Target="media/rId314.png" Type="http://schemas.openxmlformats.org/officeDocument/2006/relationships/image" /><Relationship Id="rId361" Target="media/rId361.png" Type="http://schemas.openxmlformats.org/officeDocument/2006/relationships/image" /><Relationship Id="rId376" Target="media/rId376.png" Type="http://schemas.openxmlformats.org/officeDocument/2006/relationships/image" /><Relationship Id="rId350" Target="media/rId350.png" Type="http://schemas.openxmlformats.org/officeDocument/2006/relationships/image" /><Relationship Id="rId389" Target="media/rId389.png" Type="http://schemas.openxmlformats.org/officeDocument/2006/relationships/image" /><Relationship Id="rId393" Target="media/rId393.png" Type="http://schemas.openxmlformats.org/officeDocument/2006/relationships/image" /><Relationship Type="http://schemas.openxmlformats.org/officeDocument/2006/relationships/image" Id="rId440" Target="media/rId440.png" /><Relationship Type="http://schemas.openxmlformats.org/officeDocument/2006/relationships/image" Id="rId455" Target="media/rId455.png" /><Relationship Type="http://schemas.openxmlformats.org/officeDocument/2006/relationships/image" Id="rId429" Target="media/rId429.png" /><Relationship Type="http://schemas.openxmlformats.org/officeDocument/2006/relationships/image" Id="rId468" Target="media/rId468.png" /><Relationship Type="http://schemas.openxmlformats.org/officeDocument/2006/relationships/image" Id="rId472" Target="media/rId4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2026-06-27T02:03:47Z</dcterms:created>
  <dcterms:modified xsi:type="dcterms:W3CDTF">2026-06-27T02:03:47Z</dcterms:modified>
</cp:coreProperties>
</file>

<file path=docProps/custom.xml><?xml version="1.0" encoding="utf-8"?>
<Properties xmlns="http://schemas.openxmlformats.org/officeDocument/2006/custom-properties" xmlns:vt="http://schemas.openxmlformats.org/officeDocument/2006/docPropsVTypes"/>
</file>