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39.png" ContentType="image/png"/>
  <Override PartName="/word/media/rId854.png" ContentType="image/png"/>
  <Override PartName="/word/media/rId828.png" ContentType="image/png"/>
  <Override PartName="/word/media/rId867.png" ContentType="image/png"/>
  <Override PartName="/word/media/rId871.png" ContentType="image/png"/>
  <Override PartName="/word/media/rId875.png" ContentType="image/png"/>
  <Override PartName="/word/media/rId887.png" ContentType="image/png"/>
  <Override PartName="/word/media/rId756.png" ContentType="image/png"/>
  <Override PartName="/word/media/rId771.png" ContentType="image/png"/>
  <Override PartName="/word/media/rId745.png" ContentType="image/png"/>
  <Override PartName="/word/media/rId784.png" ContentType="image/png"/>
  <Override PartName="/word/media/rId788.png" ContentType="image/png"/>
  <Override PartName="/word/media/rId792.png" ContentType="image/png"/>
  <Override PartName="/word/media/rId709.png" ContentType="image/png"/>
  <Override PartName="/word/media/rId705.png" ContentType="image/png"/>
  <Override PartName="/word/media/rId666.png" ContentType="image/png"/>
  <Override PartName="/word/media/rId692.png" ContentType="image/png"/>
  <Override PartName="/word/media/rId677.png" ContentType="image/png"/>
  <Override PartName="/word/media/rId630.png" ContentType="image/png"/>
  <Override PartName="/word/media/rId626.png" ContentType="image/png"/>
  <Override PartName="/word/media/rId587.png" ContentType="image/png"/>
  <Override PartName="/word/media/rId613.png" ContentType="image/png"/>
  <Override PartName="/word/media/rId598.png" ContentType="image/png"/>
  <Override PartName="/word/media/rId551.png" ContentType="image/png"/>
  <Override PartName="/word/media/rId547.png" ContentType="image/png"/>
  <Override PartName="/word/media/rId508.png" ContentType="image/png"/>
  <Override PartName="/word/media/rId534.png" ContentType="image/png"/>
  <Override PartName="/word/media/rId519.png" ContentType="image/png"/>
  <Override PartName="/word/media/rId472.png" ContentType="image/png"/>
  <Override PartName="/word/media/rId468.png" ContentType="image/png"/>
  <Override PartName="/word/media/rId429.png" ContentType="image/png"/>
  <Override PartName="/word/media/rId455.png" ContentType="image/png"/>
  <Override PartName="/word/media/rId440.png" ContentType="image/png"/>
  <Override PartName="/word/media/rId393.png" ContentType="image/png"/>
  <Override PartName="/word/media/rId389.png" ContentType="image/png"/>
  <Override PartName="/word/media/rId350.png" ContentType="image/png"/>
  <Override PartName="/word/media/rId376.png" ContentType="image/png"/>
  <Override PartName="/word/media/rId361.png" ContentType="image/png"/>
  <Override PartName="/word/media/rId314.png" ContentType="image/png"/>
  <Override PartName="/word/media/rId310.png" ContentType="image/png"/>
  <Override PartName="/word/media/rId271.png" ContentType="image/png"/>
  <Override PartName="/word/media/rId297.png" ContentType="image/png"/>
  <Override PartName="/word/media/rId282.png" ContentType="image/png"/>
  <Override PartName="/word/media/rId235.png" ContentType="image/png"/>
  <Override PartName="/word/media/rId231.png" ContentType="image/png"/>
  <Override PartName="/word/media/rId192.png" ContentType="image/png"/>
  <Override PartName="/word/media/rId218.png" ContentType="image/png"/>
  <Override PartName="/word/media/rId203.png" ContentType="image/png"/>
  <Override PartName="/word/media/rId156.png" ContentType="image/png"/>
  <Override PartName="/word/media/rId152.png" ContentType="image/png"/>
  <Override PartName="/word/media/rId113.png" ContentType="image/png"/>
  <Override PartName="/word/media/rId139.png" ContentType="image/png"/>
  <Override PartName="/word/media/rId124.png" ContentType="image/png"/>
  <Override PartName="/word/media/rId77.png" ContentType="image/png"/>
  <Override PartName="/word/media/rId73.png" ContentType="image/png"/>
  <Override PartName="/word/media/rId34.png" ContentType="image/png"/>
  <Override PartName="/word/media/rId6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p>
    <w:p>
      <w:pPr>
        <w:pStyle w:val="BodyText"/>
      </w:pPr>
    </w:p>
    <w:p>
      <w:pPr>
        <w:pStyle w:val="BodyText"/>
      </w:pPr>
      <w:r>
        <w:t xml:space="preserve">Москва, 2026</w:t>
      </w:r>
    </w:p>
    <w:p>
      <w:r>
        <w:br w:type="page"/>
      </w:r>
    </w:p>
    <w:bookmarkStart w:id="801"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End w:id="801"/>
    <w:bookmarkStart w:id="802" w:name="abstract"/>
    <w:p>
      <w:pPr>
        <w:pStyle w:val="Heading1"/>
      </w:pPr>
      <w:r>
        <w:t xml:space="preserve">Abstract</w:t>
      </w:r>
    </w:p>
    <w:p>
      <w:pPr>
        <w:pStyle w:val="FirstParagraph"/>
      </w:pPr>
      <w:r>
        <w:t xml:space="preserve">This course paper investigates OCR post-correction for historical Turkic texts written in Arabic script. The work does not build a complete OCR/HTR pipeline from page images; it focuses on a narrower text-to-text layer where noisy OCR-like output is transformed into a corrected string and evaluated against a reference. The pilot material is an Ottoman Turkish source in Arabic script, used as a related Arabic-script Turkic test case rather than as an Old Tatar or Old Bashkir dataset. A synthetic corpus of noisy-reference pairs is constructed and several methods are compared: identity baseline, rule-based normalizer, character-confusion baseline, and ByT5-small. On the synthetic benchmark, ByT5-small obtains the best scores among the tested methods, especially in WER. However, a page-level sanity check on real Tesseract output shows an unstable transfer: the model may slightly reduce WER but can worsen CER and NoSpaceCER. The main result is therefore a reproducible evaluation protocol and evidence of a synthetic-to-real gap, not a ready OCR system.</w:t>
      </w:r>
    </w:p>
    <w:bookmarkEnd w:id="802"/>
    <w:bookmarkStart w:id="894" w:name="содержание"/>
    <w:p>
      <w:pPr>
        <w:pStyle w:val="Heading1"/>
      </w:pPr>
      <w:r>
        <w:t xml:space="preserve">Содержание</w:t>
      </w:r>
    </w:p>
    <w:p>
      <w:pPr>
        <w:pStyle w:val="Compact"/>
        <w:numPr>
          <w:ilvl w:val="0"/>
          <w:numId w:val="1001"/>
        </w:numPr>
      </w:pPr>
      <w:r>
        <w:t xml:space="preserve">Введение</w:t>
      </w:r>
    </w:p>
    <w:p>
      <w:pPr>
        <w:pStyle w:val="FirstParagraph"/>
      </w:pPr>
      <w:r>
        <w:t xml:space="preserve">1.1 Актуальность</w:t>
      </w:r>
    </w:p>
    <w:p>
      <w:pPr>
        <w:pStyle w:val="BodyText"/>
      </w:pPr>
      <w:r>
        <w:t xml:space="preserve">1.2 Постановка проблемы</w:t>
      </w:r>
    </w:p>
    <w:p>
      <w:pPr>
        <w:pStyle w:val="BodyText"/>
      </w:pPr>
      <w:r>
        <w:t xml:space="preserve">1.3 Цель работы</w:t>
      </w:r>
    </w:p>
    <w:p>
      <w:pPr>
        <w:pStyle w:val="BodyText"/>
      </w:pPr>
      <w:r>
        <w:t xml:space="preserve">1.4 Задачи работы</w:t>
      </w:r>
    </w:p>
    <w:p>
      <w:pPr>
        <w:pStyle w:val="BodyText"/>
      </w:pPr>
      <w:r>
        <w:t xml:space="preserve">1.5 Объект и предмет исследования</w:t>
      </w:r>
    </w:p>
    <w:p>
      <w:pPr>
        <w:pStyle w:val="BodyText"/>
      </w:pPr>
      <w:r>
        <w:t xml:space="preserve">1.6 Исследовательские вопросы</w:t>
      </w:r>
    </w:p>
    <w:p>
      <w:pPr>
        <w:pStyle w:val="BodyText"/>
      </w:pPr>
      <w:r>
        <w:t xml:space="preserve">1.7 Гипотезы</w:t>
      </w:r>
    </w:p>
    <w:p>
      <w:pPr>
        <w:pStyle w:val="BodyText"/>
      </w:pPr>
      <w:r>
        <w:t xml:space="preserve">1.8 Практическая значимость</w:t>
      </w:r>
    </w:p>
    <w:p>
      <w:pPr>
        <w:pStyle w:val="BodyText"/>
      </w:pPr>
      <w:r>
        <w:t xml:space="preserve">1.9 Структура работы</w:t>
      </w:r>
    </w:p>
    <w:p>
      <w:pPr>
        <w:pStyle w:val="Compact"/>
        <w:numPr>
          <w:ilvl w:val="0"/>
          <w:numId w:val="1002"/>
        </w:numPr>
      </w:pPr>
      <w:r>
        <w:t xml:space="preserve">Обзор предметной области и связанных работ</w:t>
      </w:r>
    </w:p>
    <w:p>
      <w:pPr>
        <w:pStyle w:val="FirstParagraph"/>
      </w:pPr>
      <w:r>
        <w:t xml:space="preserve">2.1 OCR исторических документов как воспроизводимый процесс</w:t>
      </w:r>
    </w:p>
    <w:p>
      <w:pPr>
        <w:pStyle w:val="BodyText"/>
      </w:pPr>
      <w:r>
        <w:t xml:space="preserve">2.2 Специфика арабографичного OCR</w:t>
      </w:r>
    </w:p>
    <w:p>
      <w:pPr>
        <w:pStyle w:val="BodyText"/>
      </w:pPr>
      <w:r>
        <w:t xml:space="preserve">2.3 Тюркские тексты в арабской графике и османско-турецкий материал</w:t>
      </w:r>
    </w:p>
    <w:p>
      <w:pPr>
        <w:pStyle w:val="BodyText"/>
      </w:pPr>
      <w:r>
        <w:t xml:space="preserve">2.4 Посткоррекция OCR как преобразование искажённого текста в эталонный</w:t>
      </w:r>
    </w:p>
    <w:p>
      <w:pPr>
        <w:pStyle w:val="BodyText"/>
      </w:pPr>
      <w:r>
        <w:t xml:space="preserve">2.5 Синтетические данные для посткоррекции OCR</w:t>
      </w:r>
    </w:p>
    <w:p>
      <w:pPr>
        <w:pStyle w:val="BodyText"/>
      </w:pPr>
      <w:r>
        <w:t xml:space="preserve">2.6 Модели с байтовым представлением и выбор ByT5</w:t>
      </w:r>
    </w:p>
    <w:p>
      <w:pPr>
        <w:pStyle w:val="BodyText"/>
      </w:pPr>
      <w:r>
        <w:t xml:space="preserve">2.7 Позиция данной работы относительно существующих исследований</w:t>
      </w:r>
    </w:p>
    <w:p>
      <w:pPr>
        <w:pStyle w:val="BodyText"/>
      </w:pPr>
      <w:r>
        <w:t xml:space="preserve">2.8 Выводы и результаты по главе</w:t>
      </w:r>
    </w:p>
    <w:p>
      <w:pPr>
        <w:pStyle w:val="Compact"/>
        <w:numPr>
          <w:ilvl w:val="0"/>
          <w:numId w:val="1003"/>
        </w:numPr>
      </w:pPr>
      <w:r>
        <w:t xml:space="preserve">Данные и построение корпуса</w:t>
      </w:r>
    </w:p>
    <w:p>
      <w:pPr>
        <w:pStyle w:val="FirstParagraph"/>
      </w:pPr>
      <w:r>
        <w:t xml:space="preserve">3.1 Общая постановка</w:t>
      </w:r>
    </w:p>
    <w:p>
      <w:pPr>
        <w:pStyle w:val="BodyText"/>
      </w:pPr>
      <w:r>
        <w:t xml:space="preserve">3.2 Источник данных</w:t>
      </w:r>
    </w:p>
    <w:p>
      <w:pPr>
        <w:pStyle w:val="BodyText"/>
      </w:pPr>
      <w:r>
        <w:t xml:space="preserve">3.3 Сбор и предварительная подготовка</w:t>
      </w:r>
    </w:p>
    <w:p>
      <w:pPr>
        <w:pStyle w:val="BodyText"/>
      </w:pPr>
      <w:r>
        <w:t xml:space="preserve">3.4 Синтетические OCR-подобные искажения</w:t>
      </w:r>
    </w:p>
    <w:p>
      <w:pPr>
        <w:pStyle w:val="BodyText"/>
      </w:pPr>
      <w:r>
        <w:t xml:space="preserve">3.5 Структура набора данных</w:t>
      </w:r>
    </w:p>
    <w:p>
      <w:pPr>
        <w:pStyle w:val="BodyText"/>
      </w:pPr>
      <w:r>
        <w:t xml:space="preserve">3.6 Разбиение на обучающую, валидационную и тестовую выборки</w:t>
      </w:r>
    </w:p>
    <w:p>
      <w:pPr>
        <w:pStyle w:val="BodyText"/>
      </w:pPr>
      <w:r>
        <w:t xml:space="preserve">3.7 Контроль утечки данных</w:t>
      </w:r>
    </w:p>
    <w:p>
      <w:pPr>
        <w:pStyle w:val="BodyText"/>
      </w:pPr>
      <w:r>
        <w:t xml:space="preserve">3.8 Ограничения корпуса</w:t>
      </w:r>
    </w:p>
    <w:p>
      <w:pPr>
        <w:pStyle w:val="BodyText"/>
      </w:pPr>
      <w:r>
        <w:t xml:space="preserve">3.9 Выводы и результаты по главе</w:t>
      </w:r>
    </w:p>
    <w:p>
      <w:pPr>
        <w:pStyle w:val="Compact"/>
        <w:numPr>
          <w:ilvl w:val="0"/>
          <w:numId w:val="1004"/>
        </w:numPr>
      </w:pPr>
      <w:r>
        <w:t xml:space="preserve">Методология эксперимента</w:t>
      </w:r>
    </w:p>
    <w:p>
      <w:pPr>
        <w:pStyle w:val="FirstParagraph"/>
      </w:pPr>
      <w:r>
        <w:t xml:space="preserve">4.1 Общая схема эксперимента</w:t>
      </w:r>
    </w:p>
    <w:p>
      <w:pPr>
        <w:pStyle w:val="BodyText"/>
      </w:pPr>
      <w:r>
        <w:t xml:space="preserve">4.2 Базовые методы</w:t>
      </w:r>
    </w:p>
    <w:p>
      <w:pPr>
        <w:pStyle w:val="BodyText"/>
      </w:pPr>
      <w:r>
        <w:t xml:space="preserve">4.3 Символьный метод на основе ошибок обучающей выборки</w:t>
      </w:r>
    </w:p>
    <w:p>
      <w:pPr>
        <w:pStyle w:val="BodyText"/>
      </w:pPr>
      <w:r>
        <w:t xml:space="preserve">4.4 Нейросетевая модель ByT5-small</w:t>
      </w:r>
    </w:p>
    <w:p>
      <w:pPr>
        <w:pStyle w:val="BodyText"/>
      </w:pPr>
      <w:r>
        <w:t xml:space="preserve">4.5 Проверенные конфигурации</w:t>
      </w:r>
    </w:p>
    <w:p>
      <w:pPr>
        <w:pStyle w:val="BodyText"/>
      </w:pPr>
      <w:r>
        <w:t xml:space="preserve">4.6 Метрики качества</w:t>
      </w:r>
    </w:p>
    <w:p>
      <w:pPr>
        <w:pStyle w:val="BodyText"/>
      </w:pPr>
      <w:r>
        <w:t xml:space="preserve">4.7 Процедура оценки</w:t>
      </w:r>
    </w:p>
    <w:p>
      <w:pPr>
        <w:pStyle w:val="BodyText"/>
      </w:pPr>
      <w:r>
        <w:t xml:space="preserve">4.8 Анализ ошибок</w:t>
      </w:r>
    </w:p>
    <w:p>
      <w:pPr>
        <w:pStyle w:val="BodyText"/>
      </w:pPr>
      <w:r>
        <w:t xml:space="preserve">4.9 Воспроизводимость</w:t>
      </w:r>
    </w:p>
    <w:p>
      <w:pPr>
        <w:pStyle w:val="BodyText"/>
      </w:pPr>
      <w:r>
        <w:t xml:space="preserve">4.10 Выводы и результаты по главе</w:t>
      </w:r>
    </w:p>
    <w:p>
      <w:pPr>
        <w:pStyle w:val="Compact"/>
        <w:numPr>
          <w:ilvl w:val="0"/>
          <w:numId w:val="1005"/>
        </w:numPr>
      </w:pPr>
      <w:r>
        <w:t xml:space="preserve">Результаты экспериментов и анализ ошибок</w:t>
      </w:r>
    </w:p>
    <w:p>
      <w:pPr>
        <w:pStyle w:val="FirstParagraph"/>
      </w:pPr>
      <w:r>
        <w:t xml:space="preserve">5.1 Общая логика оценки</w:t>
      </w:r>
    </w:p>
    <w:p>
      <w:pPr>
        <w:pStyle w:val="BodyText"/>
      </w:pPr>
      <w:r>
        <w:t xml:space="preserve">5.2 Итоговые метрики</w:t>
      </w:r>
    </w:p>
    <w:p>
      <w:pPr>
        <w:pStyle w:val="BodyText"/>
      </w:pPr>
      <w:r>
        <w:t xml:space="preserve">5.3 Сравнение с методом без исправления</w:t>
      </w:r>
    </w:p>
    <w:p>
      <w:pPr>
        <w:pStyle w:val="BodyText"/>
      </w:pPr>
      <w:r>
        <w:t xml:space="preserve">5.4 Нормализатор на правилах</w:t>
      </w:r>
    </w:p>
    <w:p>
      <w:pPr>
        <w:pStyle w:val="BodyText"/>
      </w:pPr>
      <w:r>
        <w:t xml:space="preserve">5.5 Символьный метод на основе ошибок обучающей выборки</w:t>
      </w:r>
    </w:p>
    <w:p>
      <w:pPr>
        <w:pStyle w:val="BodyText"/>
      </w:pPr>
      <w:r>
        <w:t xml:space="preserve">5.6 Интерпретация снижения WER</w:t>
      </w:r>
    </w:p>
    <w:p>
      <w:pPr>
        <w:pStyle w:val="BodyText"/>
      </w:pPr>
      <w:r>
        <w:t xml:space="preserve">5.7 Влияние максимальной длины последовательности</w:t>
      </w:r>
    </w:p>
    <w:p>
      <w:pPr>
        <w:pStyle w:val="BodyText"/>
      </w:pPr>
      <w:r>
        <w:t xml:space="preserve">5.8 Распределение улучшенных и ухудшенных примеров</w:t>
      </w:r>
    </w:p>
    <w:p>
      <w:pPr>
        <w:pStyle w:val="BodyText"/>
      </w:pPr>
      <w:r>
        <w:t xml:space="preserve">5.9 Среднее улучшение по примерам</w:t>
      </w:r>
    </w:p>
    <w:p>
      <w:pPr>
        <w:pStyle w:val="BodyText"/>
      </w:pPr>
      <w:r>
        <w:t xml:space="preserve">5.10 Интерпретация результатов</w:t>
      </w:r>
    </w:p>
    <w:p>
      <w:pPr>
        <w:pStyle w:val="BodyText"/>
      </w:pPr>
      <w:r>
        <w:t xml:space="preserve">5.11 Ограничения интерпретации</w:t>
      </w:r>
    </w:p>
    <w:p>
      <w:pPr>
        <w:pStyle w:val="BodyText"/>
      </w:pPr>
      <w:r>
        <w:t xml:space="preserve">5.12 Проверка переноса на постраничном реальном OCR</w:t>
      </w:r>
    </w:p>
    <w:p>
      <w:pPr>
        <w:pStyle w:val="BodyText"/>
      </w:pPr>
      <w:r>
        <w:t xml:space="preserve">5.13 Постраничное поведение модели</w:t>
      </w:r>
    </w:p>
    <w:p>
      <w:pPr>
        <w:pStyle w:val="BodyText"/>
      </w:pPr>
      <w:r>
        <w:t xml:space="preserve">5.14 Качественная интерпретация real OCR</w:t>
      </w:r>
    </w:p>
    <w:p>
      <w:pPr>
        <w:pStyle w:val="BodyText"/>
      </w:pPr>
      <w:r>
        <w:t xml:space="preserve">5.15 Выводы и результаты по главе</w:t>
      </w:r>
    </w:p>
    <w:p>
      <w:pPr>
        <w:pStyle w:val="Compact"/>
        <w:numPr>
          <w:ilvl w:val="0"/>
          <w:numId w:val="1006"/>
        </w:numPr>
      </w:pPr>
      <w:r>
        <w:t xml:space="preserve">Ограничения и направления дальнейшей работы</w:t>
      </w:r>
    </w:p>
    <w:p>
      <w:pPr>
        <w:pStyle w:val="FirstParagraph"/>
      </w:pPr>
      <w:r>
        <w:t xml:space="preserve">6.1 Ограничения корпуса</w:t>
      </w:r>
    </w:p>
    <w:p>
      <w:pPr>
        <w:pStyle w:val="BodyText"/>
      </w:pPr>
      <w:r>
        <w:t xml:space="preserve">6.2 Ограничения синтетического шума</w:t>
      </w:r>
    </w:p>
    <w:p>
      <w:pPr>
        <w:pStyle w:val="BodyText"/>
      </w:pPr>
      <w:r>
        <w:t xml:space="preserve">6.3 Ограничения метрик</w:t>
      </w:r>
    </w:p>
    <w:p>
      <w:pPr>
        <w:pStyle w:val="BodyText"/>
      </w:pPr>
      <w:r>
        <w:t xml:space="preserve">6.4 Ограничения проверки на реальном OCR</w:t>
      </w:r>
    </w:p>
    <w:p>
      <w:pPr>
        <w:pStyle w:val="BodyText"/>
      </w:pPr>
      <w:r>
        <w:t xml:space="preserve">6.5 Следующий набор данных</w:t>
      </w:r>
    </w:p>
    <w:p>
      <w:pPr>
        <w:pStyle w:val="BodyText"/>
      </w:pPr>
      <w:r>
        <w:t xml:space="preserve">6.6 Переход к системе анализа исторических источников</w:t>
      </w:r>
    </w:p>
    <w:p>
      <w:pPr>
        <w:pStyle w:val="BodyText"/>
      </w:pPr>
      <w:r>
        <w:t xml:space="preserve">6.7 Демонстрационный интерфейс</w:t>
      </w:r>
      <w:r>
        <w:t xml:space="preserve"> </w:t>
      </w:r>
      <w:r>
        <w:t xml:space="preserve">6.8 Выводы и результаты по главе</w:t>
      </w:r>
    </w:p>
    <w:p>
      <w:pPr>
        <w:pStyle w:val="Compact"/>
        <w:numPr>
          <w:ilvl w:val="0"/>
          <w:numId w:val="1007"/>
        </w:numPr>
      </w:pPr>
      <w:r>
        <w:t xml:space="preserve">Заключение</w:t>
      </w:r>
    </w:p>
    <w:p>
      <w:pPr>
        <w:pStyle w:val="FirstParagraph"/>
      </w:pPr>
      <w:r>
        <w:t xml:space="preserve">Библиографический список</w:t>
      </w:r>
      <w:r>
        <w:t xml:space="preserve"> </w:t>
      </w:r>
    </w:p>
    <w:bookmarkStart w:id="803"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p>
      <w:pPr>
        <w:pStyle w:val="BodyText"/>
      </w:pPr>
      <w:r>
        <w:t xml:space="preserve">Методы исследования включают анализ работ по OCR исторических документов и посткоррекции, построение пилотного корпуса, генерацию синтетических OCR-подобных ошибок, реализацию базовых методов, обучение модели ByT5-small, вычисление CER, WER, NoSpaceCER и ExactMatch, анализ ошибок и отдельную проверку переноса на реальный OCR-вывод Tesseract. Такой набор методов позволяет отделить контролируемую проверку на синтетических данных от проверки поведения модели на настоящем OCR-выводе.</w:t>
      </w:r>
    </w:p>
    <w:bookmarkEnd w:id="803"/>
    <w:bookmarkStart w:id="804"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804"/>
    <w:bookmarkStart w:id="805"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805"/>
    <w:bookmarkStart w:id="806"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806"/>
    <w:bookmarkStart w:id="807"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8"/>
        </w:numPr>
      </w:pPr>
      <w:r>
        <w:t xml:space="preserve">Описать особенности автоматической обработки тюркских текстов в арабской графике.</w:t>
      </w:r>
    </w:p>
    <w:p>
      <w:pPr>
        <w:pStyle w:val="Compact"/>
        <w:numPr>
          <w:ilvl w:val="0"/>
          <w:numId w:val="1008"/>
        </w:numPr>
      </w:pPr>
      <w:r>
        <w:t xml:space="preserve">Собрать небольшой корпус тюркского текста в арабской графике и зафиксировать его ограничения.</w:t>
      </w:r>
    </w:p>
    <w:p>
      <w:pPr>
        <w:pStyle w:val="Compact"/>
        <w:numPr>
          <w:ilvl w:val="0"/>
          <w:numId w:val="1008"/>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8"/>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08"/>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8"/>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8"/>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8"/>
        </w:numPr>
      </w:pPr>
      <w:r>
        <w:t xml:space="preserve">Проверить перенос на реальный OCR-вывод Tesseract и сформулировать ограничения синтетического обучения.</w:t>
      </w:r>
    </w:p>
    <w:bookmarkEnd w:id="807"/>
    <w:bookmarkStart w:id="808"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808"/>
    <w:bookmarkStart w:id="809"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9"/>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9"/>
        </w:numPr>
      </w:pPr>
      <w:r>
        <w:t xml:space="preserve">Достаточны ли простые правила и символьные замены для такой задачи?</w:t>
      </w:r>
    </w:p>
    <w:p>
      <w:pPr>
        <w:pStyle w:val="Compact"/>
        <w:numPr>
          <w:ilvl w:val="0"/>
          <w:numId w:val="1009"/>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9"/>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9"/>
        </w:numPr>
      </w:pPr>
      <w:r>
        <w:t xml:space="preserve">Сохраняется ли выигрыш модели, обученной на синтетических ошибках, на реальном OCR-выводе Tesseract?</w:t>
      </w:r>
    </w:p>
    <w:bookmarkEnd w:id="809"/>
    <w:bookmarkStart w:id="810"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810"/>
    <w:bookmarkStart w:id="811"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811"/>
    <w:bookmarkStart w:id="812"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812"/>
    <w:bookmarkStart w:id="821" w:name="X0ceba565ddc4689162e5800a39ee266fa2dc29a"/>
    <w:p>
      <w:pPr>
        <w:pStyle w:val="Heading2"/>
      </w:pPr>
      <w:r>
        <w:t xml:space="preserve">2. Обзор предметной области и связанных работ</w:t>
      </w:r>
    </w:p>
    <w:bookmarkStart w:id="813"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813"/>
    <w:bookmarkStart w:id="814"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814"/>
    <w:bookmarkStart w:id="815"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815"/>
    <w:bookmarkStart w:id="816"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816"/>
    <w:bookmarkStart w:id="817"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не на искусственно испорченных строках, а на парах реального OCR/HTR-вывода и вручную проверенного текста. Для исторических и низкоресурсных материалов такой вариант часто недоступен: сначала приходится собрать источник, получить распознавание, выровнять строки и только потом проверять исправления. Поэтому синтетические данные в этой работе используются не как замена реального OCR, а как первый контролируемый уровень эксперимента.</w:t>
      </w:r>
    </w:p>
    <w:p>
      <w:pPr>
        <w:pStyle w:val="BodyText"/>
      </w:pPr>
      <w:r>
        <w:t xml:space="preserve">В литературе такой ход встречается в разных низкоресурсных постановках. Например, работы по OCR исторических текстов на иврите показывают, что искусственно построенные пары могут быть полезны, когда ручной разметки мало (Suissa et al., 2023). Naiman et al. (2023) также используют крупные синтетические наборы для посткоррекции исторических научных статей и оценивают эффект по CER и WER. Для моей работы из этого следует не то, что синтетика «достаточна», а более узкий вывод: на ней можно проверить код, метрики, разбиение и базовое сравнение методов до появления настоящих OCR-пар.</w:t>
      </w:r>
    </w:p>
    <w:p>
      <w:pPr>
        <w:pStyle w:val="BodyText"/>
      </w:pPr>
      <w:r>
        <w:t xml:space="preserve">Отдельный вопрос — как именно создавать ошибки. Если шум слишком общий, модель учится исправлять не ошибки OCR, а ошибки выбранного генератора. Guan and Greene (2024) специально обсуждают роль объёма данных, расширения выборки и способов генерации синтетических ошибок; среди важных факторов выделяются сходство глифов и низкоресурсный режим. Это особенно важно для арабской графики, где многие ошибки связаны не с произвольной заменой символов, а с близостью начертаний, точками, формами букв и сегментацией строки.</w:t>
      </w:r>
    </w:p>
    <w:p>
      <w:pPr>
        <w:pStyle w:val="BodyText"/>
      </w:pPr>
      <w:r>
        <w:t xml:space="preserve">RoundTripOCR показывает другой полезный ракурс: низкоресурсную посткоррекцию можно рассматривать как преобразование искажённого текста в эталонный по аналогии с переводом (Kashid &amp; Bhattacharyya, 2024). В моей постановке эта идея используется на уровне строки: модель получает искажённый арабографичный фрагмент и должна восстановить эталонную запись. При этом перенос на настоящий OCR проверяется отдельно, потому что синтетический набор не содержит качества скана, шрифта, структуры страницы и ошибок Tesseract.</w:t>
      </w:r>
    </w:p>
    <w:p>
      <w:pPr>
        <w:pStyle w:val="BodyText"/>
      </w:pPr>
      <w:r>
        <w:t xml:space="preserve">Следовательно, синтетический набор в этой работе — это диагностический стенд, а не финальный бенчмарк. Он нужен, чтобы увидеть, превосходит ли ByT5-small простые базовые методы в контролируемой среде. Постраничная проверка на Tesseract затем показывает границу этого стенда: для практического применения нужно строить ошибки не только по заранее заданным правилам, но и по реальным OCR-выводам и эмпирическим путаницам арабографичных графем.</w:t>
      </w:r>
    </w:p>
    <w:bookmarkEnd w:id="817"/>
    <w:bookmarkStart w:id="818"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818"/>
    <w:bookmarkStart w:id="819"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Рассмотренные работы задают рамку, в которой находится эта курсовая. С одной стороны, OCR исторических документов требует полного процесса: подготовки изображения, сегментации, распознавания, эталонной разметки и ручной проверки. С другой стороны, моя работа сознательно выносит за скобки распознавание изображения и проверяет только следующий слой — текстовую посткоррекцию уже полученного OCR-вывода.</w:t>
      </w:r>
    </w:p>
    <w:p>
      <w:pPr>
        <w:pStyle w:val="BodyText"/>
      </w:pPr>
      <w:r>
        <w:t xml:space="preserve">Из обзора также следует, почему для арабографичного материала нельзя ограничиться универсальной схемой «зашумить строку и обучить модель». В арабской графике важны форма буквы в слове, точки, близость начертаний, качество печати и ошибки разбиения строки. Поэтому синтетический шум в работе трактуется как приближение, а не как модель всех реальных ошибок. Именно поэтому в эксперимент добавлена отдельная проверка на постраничном OCR Tesseract.</w:t>
      </w:r>
    </w:p>
    <w:p>
      <w:pPr>
        <w:pStyle w:val="BodyText"/>
      </w:pPr>
      <w:r>
        <w:t xml:space="preserve">Вклад работы находится на этом промежуточном уровне. Она не предлагает новую OCR/HTR-систему и не претендует на лучший результат в распознавании исторических документов. Более точная формулировка вклада такая: построен воспроизводимый контур для проверки посткоррекции тюркского текста в арабской графике; реализованы простые методы сравнения; обучена ByT5-small; отдельно показано, что успех на синтетических ошибках не означает устойчивого переноса на реальный OCR.</w:t>
      </w:r>
    </w:p>
    <w:p>
      <w:pPr>
        <w:pStyle w:val="BodyText"/>
      </w:pPr>
      <w:r>
        <w:t xml:space="preserve">Для дальнейшего исследования наиболее важен именно этот отрицательный результат. На синтетическом наборе модель улучшает метрики относительно базовых методов, но при переходе к реальному OCR эффект становится нестабильным. Это задаёт следующую задачу магистерской работы: собрать выровненные пары «OCR-вывод — эталон», разнести страницы по выборкам без утечки и обучать посткоррекцию уже на настоящих ошибках распознавания.</w:t>
      </w:r>
    </w:p>
    <w:bookmarkEnd w:id="819"/>
    <w:bookmarkStart w:id="820" w:name="выводы-и-результаты-по-главе"/>
    <w:p>
      <w:pPr>
        <w:pStyle w:val="Heading3"/>
      </w:pPr>
      <w:r>
        <w:t xml:space="preserve">2.8 Выводы и результаты по главе</w:t>
      </w:r>
    </w:p>
    <w:p>
      <w:pPr>
        <w:pStyle w:val="FirstParagraph"/>
      </w:pPr>
      <w:r>
        <w:t xml:space="preserve">В главе рассмотрены основные направления, на которые опирается работа: OCR исторических документов, специфика арабской графики, тюркские тексты в арабской письменной традиции, посткоррекция OCR и использование синтетических данных. Обзор показывает, что посткоррекция не заменяет полноценный OCR/HTR-процесс, а решает более узкую задачу исправления уже полученного текстового вывода.</w:t>
      </w:r>
    </w:p>
    <w:p>
      <w:pPr>
        <w:pStyle w:val="BodyText"/>
      </w:pPr>
      <w:r>
        <w:t xml:space="preserve">Для данной работы особенно важен вывод о границе синтетического подхода. Синтетические пары позволяют построить воспроизводимый проверочный стенд, но не гарантируют устойчивый перенос на настоящий OCR. Поэтому дальнейшие главы разделяют контролируемую проверку на синтетических ошибках и отдельную проверку на реальном OCR-выводе Tesseract.</w:t>
      </w:r>
    </w:p>
    <w:bookmarkEnd w:id="820"/>
    <w:bookmarkEnd w:id="821"/>
    <w:bookmarkStart w:id="838" w:name="данные-и-построение-корпуса"/>
    <w:p>
      <w:pPr>
        <w:pStyle w:val="Heading2"/>
      </w:pPr>
      <w:r>
        <w:t xml:space="preserve">3. Данные и построение корпуса</w:t>
      </w:r>
    </w:p>
    <w:bookmarkStart w:id="822"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822"/>
    <w:bookmarkStart w:id="823"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823"/>
    <w:bookmarkStart w:id="824"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824"/>
    <w:bookmarkStart w:id="825"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Эталонные строки искажаются контролируемым генератором синтетических ошибок, после чего формируются пары «искажённая строка — эталонная строка».</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825"/>
    <w:bookmarkStart w:id="826"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p>
      <w:pPr>
        <w:pStyle w:val="BodyText"/>
      </w:pPr>
      <w:r>
        <w:rPr>
          <w:b/>
          <w:bCs/>
        </w:rPr>
        <w:t xml:space="preserve">Таблица 3.1 — Типы синтетических OCR-подобных искажений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826"/>
    <w:bookmarkStart w:id="827"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p>
      <w:pPr>
        <w:pStyle w:val="BodyText"/>
      </w:pPr>
      <w:r>
        <w:rPr>
          <w:b/>
          <w:bCs/>
        </w:rPr>
        <w:t xml:space="preserve">Таблица 3.2 — Количественная характеристика синтетического шума на тестовой выборке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827"/>
    <w:bookmarkStart w:id="831" w:name="примеры-пар-искажённая-строка-эталон"/>
    <w:p>
      <w:pPr>
        <w:pStyle w:val="Heading3"/>
      </w:pPr>
      <w:r>
        <w:t xml:space="preserve">3.4.3 Примеры пар «искажённая строка — эталон»</w:t>
      </w:r>
    </w:p>
    <w:p>
      <w:pPr>
        <w:pStyle w:val="CaptionedFigure"/>
      </w:pPr>
      <w:r>
        <w:drawing>
          <wp:inline>
            <wp:extent cx="6108700" cy="2850726"/>
            <wp:effectExtent b="0" l="0" r="0" t="0"/>
            <wp:docPr descr="Рисунок 3.1 — Пример синтетического OCR-подобного искажения" title="" id="829" name="Picture"/>
            <a:graphic>
              <a:graphicData uri="http://schemas.openxmlformats.org/drawingml/2006/picture">
                <pic:pic>
                  <pic:nvPicPr>
                    <pic:cNvPr descr="figures/fig03_synthetic_example.png" id="830" name="Picture"/>
                    <pic:cNvPicPr>
                      <a:picLocks noChangeArrowheads="1" noChangeAspect="1"/>
                    </pic:cNvPicPr>
                  </pic:nvPicPr>
                  <pic:blipFill>
                    <a:blip r:embed="rId828"/>
                    <a:stretch>
                      <a:fillRect/>
                    </a:stretch>
                  </pic:blipFill>
                  <pic:spPr bwMode="auto">
                    <a:xfrm>
                      <a:off x="0" y="0"/>
                      <a:ext cx="6108700" cy="2850726"/>
                    </a:xfrm>
                    <a:prstGeom prst="rect">
                      <a:avLst/>
                    </a:prstGeom>
                    <a:noFill/>
                    <a:ln w="9525">
                      <a:noFill/>
                      <a:headEnd/>
                      <a:tailEnd/>
                    </a:ln>
                  </pic:spPr>
                </pic:pic>
              </a:graphicData>
            </a:graphic>
          </wp:inline>
        </w:drawing>
      </w:r>
    </w:p>
    <w:p>
      <w:pPr>
        <w:pStyle w:val="ImageCaption"/>
      </w:pPr>
      <w:r>
        <w:t xml:space="preserve">Рисунок 3.1 — Пример синтетического OCR-подобного искажения</w:t>
      </w:r>
    </w:p>
    <w:p>
      <w:pPr>
        <w:pStyle w:val="BodyText"/>
      </w:pPr>
      <w:r>
        <w:t xml:space="preserve">Рисунок 3.1 иллюстрирует контролируемую постановку синтетической посткоррекции: входная строка содержит OCR-подобные искажения, а эталонная строка используется как целевой вариант для обучения и оценки.</w:t>
      </w:r>
    </w:p>
    <w:p>
      <w:pPr>
        <w:pStyle w:val="BodyText"/>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p>
      <w:pPr>
        <w:pStyle w:val="BodyText"/>
      </w:pPr>
      <w:r>
        <w:rPr>
          <w:b/>
          <w:bCs/>
        </w:rPr>
        <w:t xml:space="preserve">Таблица 3.3 — Примеры синтетических искажений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831"/>
    <w:bookmarkStart w:id="832"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832"/>
    <w:bookmarkStart w:id="833"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833"/>
    <w:bookmarkStart w:id="834" w:name="Xd08570dcee77ed6951cf64ca8f19d56e666eec0"/>
    <w:p>
      <w:pPr>
        <w:pStyle w:val="Heading3"/>
      </w:pPr>
      <w:r>
        <w:t xml:space="preserve">3.6 Разбиение на обучающую, валидационную и тестовую выборки</w:t>
      </w:r>
    </w:p>
    <w:p>
      <w:pPr>
        <w:pStyle w:val="FirstParagraph"/>
      </w:pPr>
      <w:r>
        <w:t xml:space="preserve">В работе используется следующее разбиение:</w:t>
      </w:r>
    </w:p>
    <w:p>
      <w:pPr>
        <w:pStyle w:val="BodyText"/>
      </w:pPr>
      <w:r>
        <w:rPr>
          <w:b/>
          <w:bCs/>
        </w:rPr>
        <w:t xml:space="preserve">Таблица 3.4 — Разбиение корпуса на обучающую, валидационную и тестовую выборки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Выборка</w:t>
            </w:r>
          </w:p>
        </w:tc>
        <w:tc>
          <w:tcPr/>
          <w:p>
            <w:pPr>
              <w:pStyle w:val="Compact"/>
              <w:jc w:val="right"/>
            </w:pPr>
            <w:r>
              <w:t xml:space="preserve">Строки</w:t>
            </w:r>
          </w:p>
        </w:tc>
        <w:tc>
          <w:tcPr/>
          <w:p>
            <w:pPr>
              <w:pStyle w:val="Compact"/>
              <w:jc w:val="right"/>
            </w:pPr>
            <w:r>
              <w:t xml:space="preserve">Уникальные эталонные строки</w:t>
            </w:r>
          </w:p>
        </w:tc>
      </w:tr>
      <w:tr>
        <w:tc>
          <w:tcPr/>
          <w:p>
            <w:pPr>
              <w:pStyle w:val="Compact"/>
            </w:pPr>
            <w:r>
              <w:t xml:space="preserve">Обучающая</w:t>
            </w:r>
          </w:p>
        </w:tc>
        <w:tc>
          <w:tcPr/>
          <w:p>
            <w:pPr>
              <w:pStyle w:val="Compact"/>
              <w:jc w:val="right"/>
            </w:pPr>
            <w:r>
              <w:t xml:space="preserve">6400</w:t>
            </w:r>
          </w:p>
        </w:tc>
        <w:tc>
          <w:tcPr/>
          <w:p>
            <w:pPr>
              <w:pStyle w:val="Compact"/>
              <w:jc w:val="right"/>
            </w:pPr>
            <w:r>
              <w:t xml:space="preserve">320</w:t>
            </w:r>
          </w:p>
        </w:tc>
      </w:tr>
      <w:tr>
        <w:tc>
          <w:tcPr/>
          <w:p>
            <w:pPr>
              <w:pStyle w:val="Compact"/>
            </w:pPr>
            <w:r>
              <w:t xml:space="preserve">Валидационная</w:t>
            </w:r>
          </w:p>
        </w:tc>
        <w:tc>
          <w:tcPr/>
          <w:p>
            <w:pPr>
              <w:pStyle w:val="Compact"/>
              <w:jc w:val="right"/>
            </w:pPr>
            <w:r>
              <w:t xml:space="preserve">800</w:t>
            </w:r>
          </w:p>
        </w:tc>
        <w:tc>
          <w:tcPr/>
          <w:p>
            <w:pPr>
              <w:pStyle w:val="Compact"/>
              <w:jc w:val="right"/>
            </w:pPr>
            <w:r>
              <w:t xml:space="preserve">40</w:t>
            </w:r>
          </w:p>
        </w:tc>
      </w:tr>
      <w:tr>
        <w:tc>
          <w:tcPr/>
          <w:p>
            <w:pPr>
              <w:pStyle w:val="Compact"/>
            </w:pPr>
            <w:r>
              <w:t xml:space="preserve">Тестовая</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834"/>
    <w:bookmarkStart w:id="835"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p>
      <w:pPr>
        <w:pStyle w:val="BodyText"/>
      </w:pPr>
      <w:r>
        <w:rPr>
          <w:b/>
          <w:bCs/>
        </w:rPr>
        <w:t xml:space="preserve">Таблица 3.5 — Проверка пересечения исходных строк между выборками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835"/>
    <w:bookmarkStart w:id="836"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836"/>
    <w:bookmarkStart w:id="837" w:name="выводы-и-результаты-по-главе-1"/>
    <w:p>
      <w:pPr>
        <w:pStyle w:val="Heading3"/>
      </w:pPr>
      <w:r>
        <w:t xml:space="preserve">3.9 Выводы и результаты по главе</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837"/>
    <w:bookmarkEnd w:id="838"/>
    <w:bookmarkStart w:id="852" w:name="методология-эксперимента"/>
    <w:p>
      <w:pPr>
        <w:pStyle w:val="Heading2"/>
      </w:pPr>
      <w:r>
        <w:t xml:space="preserve">4. Методология эксперимента</w:t>
      </w:r>
    </w:p>
    <w:bookmarkStart w:id="8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CaptionedFigure"/>
      </w:pPr>
      <w:r>
        <w:drawing>
          <wp:inline>
            <wp:extent cx="6108700" cy="1908968"/>
            <wp:effectExtent b="0" l="0" r="0" t="0"/>
            <wp:docPr descr="Рисунок 4.1 — Общая схема протокола OCR-посткоррекции" title="" id="840" name="Picture"/>
            <a:graphic>
              <a:graphicData uri="http://schemas.openxmlformats.org/drawingml/2006/picture">
                <pic:pic>
                  <pic:nvPicPr>
                    <pic:cNvPr descr="figures/fig01_postcorrection_process.png" id="841" name="Picture"/>
                    <pic:cNvPicPr>
                      <a:picLocks noChangeArrowheads="1" noChangeAspect="1"/>
                    </pic:cNvPicPr>
                  </pic:nvPicPr>
                  <pic:blipFill>
                    <a:blip r:embed="rId839"/>
                    <a:stretch>
                      <a:fillRect/>
                    </a:stretch>
                  </pic:blipFill>
                  <pic:spPr bwMode="auto">
                    <a:xfrm>
                      <a:off x="0" y="0"/>
                      <a:ext cx="6108700" cy="1908968"/>
                    </a:xfrm>
                    <a:prstGeom prst="rect">
                      <a:avLst/>
                    </a:prstGeom>
                    <a:noFill/>
                    <a:ln w="9525">
                      <a:noFill/>
                      <a:headEnd/>
                      <a:tailEnd/>
                    </a:ln>
                  </pic:spPr>
                </pic:pic>
              </a:graphicData>
            </a:graphic>
          </wp:inline>
        </w:drawing>
      </w:r>
    </w:p>
    <w:p>
      <w:pPr>
        <w:pStyle w:val="ImageCaption"/>
      </w:pPr>
      <w:r>
        <w:t xml:space="preserve">Рисунок 4.1 — Общая схема протокола OCR-посткоррекции</w:t>
      </w:r>
    </w:p>
    <w:p>
      <w:pPr>
        <w:pStyle w:val="BodyText"/>
      </w:pPr>
      <w:r>
        <w:t xml:space="preserve">Рисунок 4.1 показывает общий контур эксперимента: от эталонного текста и синтетического шума к сравнению методов посткоррекции и отдельной проверке переноса на реальный OCR.</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842"/>
    <w:bookmarkStart w:id="843" w:name="базовые-методы"/>
    <w:p>
      <w:pPr>
        <w:pStyle w:val="Heading3"/>
      </w:pPr>
      <w:r>
        <w:t xml:space="preserve">4.2 Базовые методы</w:t>
      </w:r>
    </w:p>
    <w:p>
      <w:pPr>
        <w:pStyle w:val="FirstParagraph"/>
      </w:pPr>
      <w:r>
        <w:t xml:space="preserve">В эксперименте используются три базовых метода. Они нужны не для формального заполнения таблицы, а для контроля того, что именно даёт нейросетевая модель.</w:t>
      </w:r>
    </w:p>
    <w:p>
      <w:pPr>
        <w:pStyle w:val="BodyText"/>
      </w:pPr>
      <w:r>
        <w:t xml:space="preserve">Первый вариант — метод без исправления. Он возвращает входную строку без изменений. Такой метод фиксирует исходный уровень качества: если модель посткоррекции не превосходит его хотя бы по CER или WER, то она не исправляет OCR-вывод, а добавляет новые ошибки.</w:t>
      </w:r>
    </w:p>
    <w:p>
      <w:pPr>
        <w:pStyle w:val="BodyText"/>
      </w:pPr>
      <w:r>
        <w:t xml:space="preserve">Второй вариант — нормализатор на правилах. Он применяет простые символьные преобразования к арабографичному тексту. Я не рассматриваю его как сильную модель; его роль диагностическая. Он проверяет, можно ли улучшить текст простыми правилами до обучения нейросетевой модели. Для исторического материала это особенно рискованная операция: нормализация может убрать технический шум, но может и стереть орфографические различия, важные для источника.</w:t>
      </w:r>
    </w:p>
    <w:p>
      <w:pPr>
        <w:pStyle w:val="BodyText"/>
      </w:pPr>
      <w:r>
        <w:t xml:space="preserve">Третий вариант — символьный метод на основе ошибок обучающей выборки. Он строится по парам «искажённая строка — эталонная строка»: строки выравниваются алгоритмом Левенштейна, после чего из обучающей выборки извлекаются частотные соответствия между ошибочными и эталонными символами. Замена принимается только тогда, когда у неё есть достаточная поддержка и явное доминирование одного целевого символа.</w:t>
      </w:r>
    </w:p>
    <w:p>
      <w:pPr>
        <w:pStyle w:val="BodyText"/>
      </w:pPr>
      <w:r>
        <w:t xml:space="preserve">Такой набор базовых методов позволяет разделить несколько эффектов. Метод без исправления показывает исходную сложность задачи. Нормализатор проверяет безопасность ручных правил. Символьный метод показывает, насколько далеко можно продвинуться без контекстной нейросетевой модели. На этом фоне результат ByT5-small интерпретируется осторожнее: улучшение должно быть не просто численным, а устойчивым относительно простых альтернатив.</w:t>
      </w:r>
    </w:p>
    <w:bookmarkEnd w:id="843"/>
    <w:bookmarkStart w:id="844"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844"/>
    <w:bookmarkStart w:id="8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845"/>
    <w:bookmarkStart w:id="8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p>
      <w:pPr>
        <w:pStyle w:val="BodyText"/>
      </w:pPr>
      <w:r>
        <w:rPr>
          <w:b/>
          <w:bCs/>
        </w:rPr>
        <w:t xml:space="preserve">Таблица 4.1 — Проверенные конфигурации ByT5-small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Модель</w:t>
            </w:r>
          </w:p>
        </w:tc>
        <w:tc>
          <w:tcPr/>
          <w:p>
            <w:pPr>
              <w:pStyle w:val="Compact"/>
              <w:jc w:val="right"/>
            </w:pPr>
            <w:r>
              <w:t xml:space="preserve">Длина входа</w:t>
            </w:r>
          </w:p>
        </w:tc>
        <w:tc>
          <w:tcPr/>
          <w:p>
            <w:pPr>
              <w:pStyle w:val="Compact"/>
              <w:jc w:val="right"/>
            </w:pPr>
            <w:r>
              <w:t xml:space="preserve">Длина выхода</w:t>
            </w:r>
          </w:p>
        </w:tc>
        <w:tc>
          <w:tcPr/>
          <w:p>
            <w:pPr>
              <w:pStyle w:val="Compact"/>
              <w:jc w:val="right"/>
            </w:pPr>
            <w:r>
              <w:t xml:space="preserve">Эпохи</w:t>
            </w:r>
          </w:p>
        </w:tc>
      </w:tr>
      <w:tr>
        <w:tc>
          <w:tcPr/>
          <w:p>
            <w:pPr>
              <w:pStyle w:val="Compact"/>
            </w:pPr>
            <w:r>
              <w:t xml:space="preserve">ByT5,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846"/>
    <w:bookmarkStart w:id="8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847"/>
    <w:bookmarkStart w:id="848" w:name="процедура-оценки"/>
    <w:p>
      <w:pPr>
        <w:pStyle w:val="Heading3"/>
      </w:pPr>
      <w:r>
        <w:t xml:space="preserve">4.7 Процедура оценки</w:t>
      </w:r>
    </w:p>
    <w:p>
      <w:pPr>
        <w:pStyle w:val="FirstParagraph"/>
      </w:pPr>
      <w:r>
        <w:t xml:space="preserve">Оценка проводится на тестовой выборке, которая не пересекается с обучающей и валидационной частями по исходным строкам. В тесте 800 искажённых вариантов, полученных из 40 уникальных эталонных строк. Это важно для интерпретации результата: модель проверяется не на новых вариантах уже знакомых строк, а на строках, которые не встречались при обучении.</w:t>
      </w:r>
    </w:p>
    <w:p>
      <w:pPr>
        <w:pStyle w:val="BodyText"/>
      </w:pPr>
      <w:r>
        <w:t xml:space="preserve">Для каждого метода сохраняется таблица с входной строкой, эталоном и предсказанием. Затем одна и та же процедура считает CER, WER, NoSpaceCER и ExactMatch. Я специально использую единую процедуру оценки для всех методов, чтобы различия в метриках зависели от самих методов, а не от разных скриптов или разных вариантов предобработки.</w:t>
      </w:r>
    </w:p>
    <w:p>
      <w:pPr>
        <w:pStyle w:val="BodyText"/>
      </w:pPr>
      <w:r>
        <w:t xml:space="preserve">В сравнении участвуют четыре варианта: метод без исправления, нормализатор на правилах, символьный метод на основе ошибок обучающей выборки и ByT5-small. Такая схема нужна, чтобы отделить несколько эффектов: сохранение исходного шума, ручную нормализацию, локальные символьные замены и контекстную нейросетевую посткоррекцию. Итоговая таблица метрик сохраняется в</w:t>
      </w:r>
      <w:r>
        <w:t xml:space="preserve"> </w:t>
      </w:r>
      <w:r>
        <w:rPr>
          <w:rStyle w:val="VerbatimChar"/>
        </w:rPr>
        <w:t xml:space="preserve">outputs/postcorrection/final_metrics.csv</w:t>
      </w:r>
      <w:r>
        <w:t xml:space="preserve">.</w:t>
      </w:r>
    </w:p>
    <w:bookmarkEnd w:id="848"/>
    <w:bookmarkStart w:id="849" w:name="анализ-ошибок"/>
    <w:p>
      <w:pPr>
        <w:pStyle w:val="Heading3"/>
      </w:pPr>
      <w:r>
        <w:t xml:space="preserve">4.8 Анализ ошибок</w:t>
      </w:r>
    </w:p>
    <w:p>
      <w:pPr>
        <w:pStyle w:val="FirstParagraph"/>
      </w:pPr>
      <w:r>
        <w:t xml:space="preserve">Помимо средних метрик я отдельно проверяю поведение модели на отдельных строках. Для каждого тестового примера сравниваются две ситуации: исходная искажённая строка относительно эталона и предсказание модели относительно того же эталона. После этого пример относится к одной из трёх групп: улучшился, остался без изменений или ухудшился.</w:t>
      </w:r>
    </w:p>
    <w:p>
      <w:pPr>
        <w:pStyle w:val="BodyText"/>
      </w:pPr>
      <w:r>
        <w:t xml:space="preserve">Такой разбор нужен потому, что среднее значение CER или WER само по себе может быть обманчивым. Например, модель может сильно улучшить часть строк, но одновременно испортить другие. В таком случае средняя метрика покажет общий выигрыш, но для практической OCR-посткоррекции это всё равно опасно: пользователь получит не только исправления, но и новые ошибки.</w:t>
      </w:r>
    </w:p>
    <w:p>
      <w:pPr>
        <w:pStyle w:val="BodyText"/>
      </w:pPr>
      <w:r>
        <w:t xml:space="preserve">Отдельно сохраняются лучшие и худшие случаи. По ним видно, какие типы искажений модель исправляет уверенно, а где она начинает чрезмерно менять строку или сглаживать историческое написание. Этот разбор выполняется скриптом</w:t>
      </w:r>
      <w:r>
        <w:t xml:space="preserve"> </w:t>
      </w:r>
      <w:r>
        <w:rPr>
          <w:rStyle w:val="VerbatimChar"/>
        </w:rPr>
        <w:t xml:space="preserve">scripts/postcorrection_error_analysis.py</w:t>
      </w:r>
      <w:r>
        <w:t xml:space="preserve">; он используется не вместо метрик, а как дополнительная проверка того, насколько численный выигрыш выглядит надёжным на уровне конкретных строк.</w:t>
      </w:r>
    </w:p>
    <w:bookmarkEnd w:id="849"/>
    <w:bookmarkStart w:id="8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850"/>
    <w:bookmarkStart w:id="851" w:name="выводы-и-результаты-по-главе-2"/>
    <w:p>
      <w:pPr>
        <w:pStyle w:val="Heading3"/>
      </w:pPr>
      <w:r>
        <w:t xml:space="preserve">4.10 Выводы и результаты по главе</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851"/>
    <w:bookmarkEnd w:id="852"/>
    <w:bookmarkStart w:id="880" w:name="результаты-экспериментов-и-анализ-ошибок"/>
    <w:p>
      <w:pPr>
        <w:pStyle w:val="Heading2"/>
      </w:pPr>
      <w:r>
        <w:t xml:space="preserve">5. Результаты экспериментов и анализ ошибок</w:t>
      </w:r>
    </w:p>
    <w:bookmarkStart w:id="8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853"/>
    <w:bookmarkStart w:id="857" w:name="итоговые-метрики"/>
    <w:p>
      <w:pPr>
        <w:pStyle w:val="Heading3"/>
      </w:pPr>
      <w:r>
        <w:t xml:space="preserve">5.2 Итоговые метрики</w:t>
      </w:r>
    </w:p>
    <w:p>
      <w:pPr>
        <w:pStyle w:val="FirstParagraph"/>
      </w:pPr>
      <w:r>
        <w:t xml:space="preserve">Итоговые результаты представлены в таблице. Для компактности</w:t>
      </w:r>
      <w:r>
        <w:t xml:space="preserve"> </w:t>
      </w:r>
      <w:r>
        <w:rPr>
          <w:rStyle w:val="VerbatimChar"/>
        </w:rPr>
        <w:t xml:space="preserve">EM</w:t>
      </w:r>
      <w:r>
        <w:t xml:space="preserve"> </w:t>
      </w:r>
      <w:r>
        <w:t xml:space="preserve">обозначает ExactMatch.</w:t>
      </w:r>
    </w:p>
    <w:p>
      <w:pPr>
        <w:pStyle w:val="BodyText"/>
      </w:pPr>
      <w:r>
        <w:rPr>
          <w:b/>
          <w:bCs/>
        </w:rPr>
        <w:t xml:space="preserve">Таблица 5.1 — Итоговые метрики на синтетическом тестовом наборе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EM</w:t>
            </w:r>
          </w:p>
        </w:tc>
        <w:tc>
          <w:tcPr/>
          <w:p>
            <w:pPr>
              <w:pStyle w:val="Compact"/>
              <w:jc w:val="right"/>
            </w:pPr>
            <w:r>
              <w:t xml:space="preserve">N</w:t>
            </w:r>
          </w:p>
        </w:tc>
      </w:tr>
      <w:tr>
        <w:tc>
          <w:tcPr/>
          <w:p>
            <w:pPr>
              <w:pStyle w:val="Compact"/>
            </w:pPr>
            <w:r>
              <w:t xml:space="preserve">Без испр.</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Правила</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ByT5-512</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CaptionedFigure"/>
      </w:pPr>
      <w:r>
        <w:drawing>
          <wp:inline>
            <wp:extent cx="6108700" cy="3220950"/>
            <wp:effectExtent b="0" l="0" r="0" t="0"/>
            <wp:docPr descr="Рисунок 5.1 — Сравнение методов на синтетическом тестовом наборе" title="" id="855" name="Picture"/>
            <a:graphic>
              <a:graphicData uri="http://schemas.openxmlformats.org/drawingml/2006/picture">
                <pic:pic>
                  <pic:nvPicPr>
                    <pic:cNvPr descr="figures/fig02_synthetic_metrics.png" id="856" name="Picture"/>
                    <pic:cNvPicPr>
                      <a:picLocks noChangeArrowheads="1" noChangeAspect="1"/>
                    </pic:cNvPicPr>
                  </pic:nvPicPr>
                  <pic:blipFill>
                    <a:blip r:embed="rId854"/>
                    <a:stretch>
                      <a:fillRect/>
                    </a:stretch>
                  </pic:blipFill>
                  <pic:spPr bwMode="auto">
                    <a:xfrm>
                      <a:off x="0" y="0"/>
                      <a:ext cx="6108700" cy="3220950"/>
                    </a:xfrm>
                    <a:prstGeom prst="rect">
                      <a:avLst/>
                    </a:prstGeom>
                    <a:noFill/>
                    <a:ln w="9525">
                      <a:noFill/>
                      <a:headEnd/>
                      <a:tailEnd/>
                    </a:ln>
                  </pic:spPr>
                </pic:pic>
              </a:graphicData>
            </a:graphic>
          </wp:inline>
        </w:drawing>
      </w:r>
    </w:p>
    <w:p>
      <w:pPr>
        <w:pStyle w:val="ImageCaption"/>
      </w:pPr>
      <w:r>
        <w:t xml:space="preserve">Рисунок 5.1 — Сравнение методов на синтетическом тестовом наборе</w:t>
      </w:r>
    </w:p>
    <w:p>
      <w:pPr>
        <w:pStyle w:val="BodyText"/>
      </w:pPr>
      <w:r>
        <w:t xml:space="preserve">Рисунок 5.1 показывает, что ByT5-small 512 даёт лучший результат среди рассмотренных методов на синтетическом тестовом наборе. При этом снижение WER выражено сильнее, чем снижение CER, поэтому результат требует осторожной интерпретации с учётом ошибок пробелов и границ слов.</w:t>
      </w:r>
    </w:p>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857"/>
    <w:bookmarkStart w:id="858"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нужен как нижняя граница качества. Он не делает никакой посткоррекции и просто возвращает входную искажённую строку. Поэтому сравнение с ним отвечает на самый простой вопрос: добавляет ли модель пользу или только создаёт новые ошибки.</w:t>
      </w:r>
    </w:p>
    <w:p>
      <w:pPr>
        <w:pStyle w:val="BodyText"/>
      </w:pPr>
      <w:r>
        <w:t xml:space="preserve">ByT5-small 512 показывает результат лучше этого уровня по основным метрикам: CER снижается с 0.086005 до 0.079913, WER — с 0.519006 до 0.368540, а ExactMatch растёт с 0.001250 до 0.003750. По CER выигрыш небольшой: абсолютное снижение составляет 0.006092. Это означает, что модель действительно приближает строки к эталону, но не решает задачу полностью. По WER эффект заметнее: разница составляет примерно 0.150466.</w:t>
      </w:r>
    </w:p>
    <w:p>
      <w:pPr>
        <w:pStyle w:val="BodyText"/>
      </w:pPr>
      <w:r>
        <w:t xml:space="preserve">Я трактую этот результат как положительный сигнал для пилотного эксперимента, а не как доказательство готовности модели к практическому OCR. На синтетическом наборе ByT5-small полезна, но для вывода о реальных сканах нужна проверка на настоящих OCR-ошибках и на разбиении по страницам или источникам.</w:t>
      </w:r>
    </w:p>
    <w:bookmarkEnd w:id="858"/>
    <w:bookmarkStart w:id="859" w:name="нормализатор-на-правилах"/>
    <w:p>
      <w:pPr>
        <w:pStyle w:val="Heading3"/>
      </w:pPr>
      <w:r>
        <w:t xml:space="preserve">5.4 Нормализатор на правилах</w:t>
      </w:r>
    </w:p>
    <w:p>
      <w:pPr>
        <w:pStyle w:val="FirstParagraph"/>
      </w:pPr>
      <w:r>
        <w:t xml:space="preserve">Нормализатор на правилах оказался не улучшением, а отрицательным контрольным примером. По сравнению с методом без исправления CER растёт с 0.086005 до 0.151932, а WER — с 0.519006 до 0.684408. ExactMatch при этом становится нулевым.</w:t>
      </w:r>
    </w:p>
    <w:p>
      <w:pPr>
        <w:pStyle w:val="BodyText"/>
      </w:pPr>
      <w:r>
        <w:t xml:space="preserve">Для этой работы такой результат важен методологически. Он показывает, что простые символьные правила нельзя считать безопасной предобработкой для исторического арабографичного текста. Правило может выглядеть разумным как техническая нормализация, но в историческом материале оно легко меняет орфографически значимые формы. Поэтому нормализатор в дальнейшем не следует использовать как обязательный этап без отдельной проверки на реальных данных.</w:t>
      </w:r>
    </w:p>
    <w:bookmarkEnd w:id="859"/>
    <w:bookmarkStart w:id="860"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даёт небольшой выигрыш относительно метода без исправления: CER снижается с 0.086005 до 0.082520, WER — с 0.519006 до 0.506189, а ExactMatch остаётся на уровне 0.001250. Это показывает, что часть ошибок действительно можно описать устойчивыми локальными заменами символов.</w:t>
      </w:r>
    </w:p>
    <w:p>
      <w:pPr>
        <w:pStyle w:val="BodyText"/>
      </w:pPr>
      <w:r>
        <w:t xml:space="preserve">Однако этот метод почти не меняет качество на уровне слов. Он умеет исправлять отдельные повторяющиеся путаницы, но не восстанавливает пропущенные элементы из контекста и не работает с более длинной структурой строки. Поэтому его результат полезен как промежуточная точка сравнения: он лучше ручной нормализации, но заметно слабее ByT5-small по WER.</w:t>
      </w:r>
    </w:p>
    <w:bookmarkEnd w:id="860"/>
    <w:bookmarkStart w:id="861" w:name="интерпретация-снижения-wer"/>
    <w:p>
      <w:pPr>
        <w:pStyle w:val="Heading3"/>
      </w:pPr>
      <w:r>
        <w:t xml:space="preserve">5.6 Интерпретация снижения WER</w:t>
      </w:r>
    </w:p>
    <w:p>
      <w:pPr>
        <w:pStyle w:val="FirstParagraph"/>
      </w:pPr>
      <w:r>
        <w:t xml:space="preserve">Самый заметный эффект ByT5-small — снижение WER с 0.519006 до 0.368540. На первый взгляд это выглядит как сильное улучшение, но в текущей постановке его нужно читать осторожно.</w:t>
      </w:r>
    </w:p>
    <w:p>
      <w:pPr>
        <w:pStyle w:val="BodyText"/>
      </w:pPr>
      <w:r>
        <w:t xml:space="preserve">Причина в устройстве синтетического шума. Генератор вносит не только замены символов, но и ошибки пробелов: вставки пробелов внутри слов и удаления пробелов между токенами. WER чувствителен к таким ошибкам сильнее, чем CER, потому что изменение границы слова может изменить всю токенизацию строки. Если модель исправляет именно такие синтетические нарушения, WER падает заметно быстрее, чем посимвольная ошибка.</w:t>
      </w:r>
    </w:p>
    <w:p>
      <w:pPr>
        <w:pStyle w:val="BodyText"/>
      </w:pPr>
      <w:r>
        <w:t xml:space="preserve">Поэтому в работе CER и WER интерпретируются вместе. CER показывает умеренный выигрыш на уровне символов, а WER показывает, что модель хорошо работает с частью ошибок границ слов в синтетическом наборе. Но этот результат сам по себе не доказывает, что такой же выигрыш появится на реальном OCR-выводе.</w:t>
      </w:r>
    </w:p>
    <w:bookmarkEnd w:id="861"/>
    <w:bookmarkStart w:id="862" w:name="Xa057a50b3d887cb833a81c68c8cf3288ce88b0e"/>
    <w:p>
      <w:pPr>
        <w:pStyle w:val="Heading3"/>
      </w:pPr>
      <w:r>
        <w:t xml:space="preserve">5.7 Влияние максимальной длины последовательности</w:t>
      </w:r>
    </w:p>
    <w:p>
      <w:pPr>
        <w:pStyle w:val="FirstParagraph"/>
      </w:pPr>
      <w:r>
        <w:t xml:space="preserve">Для ByT5-small важна максимальная длина последовательности, потому что модель работает с байтовым представлением. Один видимый символ арабской графики может занимать несколько байтов, поэтому слишком короткая длина входа способна обрезать полезный контекст.</w:t>
      </w:r>
    </w:p>
    <w:p>
      <w:pPr>
        <w:pStyle w:val="BodyText"/>
      </w:pPr>
      <w:r>
        <w:t xml:space="preserve">В текущем эксперименте конфигурация с длиной 512 выглядит более устойчивой, чем более короткий вариант. Я не трактую это как универсальное правило для всех арабографичных корпусов. Скорее это практический вывод для данного корпуса и данной постановки: при работе с историческим арабографичным текстом длину последовательности нужно проверять экспериментально, а не выбирать по умолчанию.</w:t>
      </w:r>
    </w:p>
    <w:bookmarkEnd w:id="862"/>
    <w:bookmarkStart w:id="863" w:name="X19ea1479c8c58d48c08a8bf495d59749d022072"/>
    <w:p>
      <w:pPr>
        <w:pStyle w:val="Heading3"/>
      </w:pPr>
      <w:r>
        <w:t xml:space="preserve">5.8 Распределение улучшенных и ухудшенных примеров</w:t>
      </w:r>
    </w:p>
    <w:p>
      <w:pPr>
        <w:pStyle w:val="FirstParagraph"/>
      </w:pPr>
      <w:r>
        <w:t xml:space="preserve">Агрегированные метрики показывают средний эффект, но не объясняют, насколько равномерно модель работает по строкам. Поэтому отдельно считается число примеров, где предсказание стало лучше, хуже или осталось на прежнем уровне.</w:t>
      </w:r>
    </w:p>
    <w:p>
      <w:pPr>
        <w:pStyle w:val="BodyText"/>
      </w:pPr>
      <w:r>
        <w:t xml:space="preserve">По CER модель улучшает 682 из 800 тестовых примеров, оставляет без изменений 60 и ухудшает 58. По WER картина близкая: 677 улучшенных примеров, 63 без изменений и 60 ухудшенных. Это важное уточнение к средним метрикам: выигрыш ByT5-small не держится на нескольких отдельных строках, а распределён по большей части тестовой выборки.</w:t>
      </w:r>
    </w:p>
    <w:p>
      <w:pPr>
        <w:pStyle w:val="BodyText"/>
      </w:pPr>
      <w:r>
        <w:t xml:space="preserve">Одновременно наличие ухудшенных примеров принципиально для практического вывода. Даже если модель чаще помогает, она всё равно иногда добавляет новые ошибки. Для будущей системы посткоррекции нужен механизм отката или фильтрации предсказаний, особенно если модель используется на архивных источниках без быстрой ручной проверки каждой строки.</w:t>
      </w:r>
    </w:p>
    <w:bookmarkEnd w:id="863"/>
    <w:bookmarkStart w:id="864" w:name="среднее-улучшение-по-примерам"/>
    <w:p>
      <w:pPr>
        <w:pStyle w:val="Heading3"/>
      </w:pPr>
      <w:r>
        <w:t xml:space="preserve">5.9 Среднее улучшение по примерам</w:t>
      </w:r>
    </w:p>
    <w:p>
      <w:pPr>
        <w:pStyle w:val="FirstParagraph"/>
      </w:pPr>
      <w:r>
        <w:t xml:space="preserve">Среднее снижение ошибки на уровне отдельных примеров составило 0.006092 по CER и 0.150467 по WER. Эти числа согласуются с итоговой таблицей: посимвольный выигрыш есть, но он небольшой, а выигрыш на уровне слов заметнее.</w:t>
      </w:r>
    </w:p>
    <w:p>
      <w:pPr>
        <w:pStyle w:val="BodyText"/>
      </w:pPr>
      <w:r>
        <w:t xml:space="preserve">Для интерпретации это означает следующее. В контролируемой синтетической постановке модель чаще исправляет структуру слов и пробелы, чем полностью восстанавливает каждый символ строки. Поэтому среднее улучшение полезно как краткое числовое резюме, но его нельзя рассматривать отдельно от распределения улучшенных и ухудшенных случаев.</w:t>
      </w:r>
    </w:p>
    <w:bookmarkEnd w:id="864"/>
    <w:bookmarkStart w:id="865" w:name="интерпретация-результатов"/>
    <w:p>
      <w:pPr>
        <w:pStyle w:val="Heading3"/>
      </w:pPr>
      <w:r>
        <w:t xml:space="preserve">5.10 Интерпретация результатов</w:t>
      </w:r>
    </w:p>
    <w:p>
      <w:pPr>
        <w:pStyle w:val="FirstParagraph"/>
      </w:pPr>
      <w:r>
        <w:t xml:space="preserve">Из синтетического эксперимента я делаю три вывода. Первый вывод отрицательный: нормализатор на правилах ухудшает качество, поэтому простая ручная нормализация не является безопасной предобработкой для такого материала.</w:t>
      </w:r>
    </w:p>
    <w:p>
      <w:pPr>
        <w:pStyle w:val="BodyText"/>
      </w:pPr>
      <w:r>
        <w:t xml:space="preserve">Второй вывод положительный, но ограниченный: ByT5-small 512 превосходит все рассмотренные методы на синтетическом наборе. Она даёт небольшой выигрыш по CER и заметный выигрыш по WER. Это подтверждает, что модель с байтовым представлением может быть полезной для посткоррекции арабографичного тюркского текста в контролируемой постановке.</w:t>
      </w:r>
    </w:p>
    <w:p>
      <w:pPr>
        <w:pStyle w:val="BodyText"/>
      </w:pPr>
      <w:r>
        <w:t xml:space="preserve">Третий вывод задаёт границу результата. Успех на синтетическом наборе нельзя переносить на реальные OCR/HTR-выходы без отдельной проверки. В текущем эксперименте модель учится на распределении ошибок генератора, а настоящий OCR зависит от шрифта, качества изображения, сегментации строки и особенностей конкретной OCR-системы. Поэтому результаты раздела 5 являются сильным пилотным сигналом, но не финальным доказательством практической применимости.</w:t>
      </w:r>
    </w:p>
    <w:bookmarkEnd w:id="865"/>
    <w:bookmarkStart w:id="866" w:name="ограничения-интерпретации"/>
    <w:p>
      <w:pPr>
        <w:pStyle w:val="Heading3"/>
      </w:pPr>
      <w:r>
        <w:t xml:space="preserve">5.11 Ограничения интерпретации</w:t>
      </w:r>
    </w:p>
    <w:p>
      <w:pPr>
        <w:pStyle w:val="FirstParagraph"/>
      </w:pPr>
      <w:r>
        <w:t xml:space="preserve">Результаты раздела 5 относятся прежде всего к построенному в работе тестовому контуру. В синтетической части проверяется не весь OCR-процесс, а только задача исправления уже заданной строки. Поэтому значения CER, WER и ExactMatch нельзя напрямую переносить на другие источники, шрифты, сканы или OCR-системы.</w:t>
      </w:r>
    </w:p>
    <w:p>
      <w:pPr>
        <w:pStyle w:val="BodyText"/>
      </w:pPr>
      <w:r>
        <w:t xml:space="preserve">Главное ограничение связано с данными. Корпус невелик, построен на одном основном источнике, а ошибки в основной тестовой части созданы генератором. Это удобно для воспроизводимого сравнения методов, но не заменяет набор реальных пар «OCR-вывод — эталон». Для практического вывода важнее не только средняя метрика, но и то, как модель ведёт себя на настоящем OCR-выводе.</w:t>
      </w:r>
    </w:p>
    <w:p>
      <w:pPr>
        <w:pStyle w:val="BodyText"/>
      </w:pPr>
      <w:r>
        <w:t xml:space="preserve">Есть и ограничение метрик. CER и WER измеряют формальную близость к эталону, но не решают вопрос историко-лингвистической допустимости исправления. Например, модель может приблизить строку к эталону по расстоянию Левенштейна, но при этом сгладить форму, которую исследователь не хотел бы нормализовать. По этой причине автоматические метрики в работе дополняются разбором ухудшенных случаев.</w:t>
      </w:r>
    </w:p>
    <w:bookmarkEnd w:id="866"/>
    <w:bookmarkStart w:id="870" w:name="X9ae740f4b068656258209a4fa61338553b28ec2"/>
    <w:p>
      <w:pPr>
        <w:pStyle w:val="Heading3"/>
      </w:pPr>
      <w:r>
        <w:t xml:space="preserve">5.12 Проверка переноса на постраничном реальном OCR</w:t>
      </w:r>
    </w:p>
    <w:p>
      <w:pPr>
        <w:pStyle w:val="CaptionedFigure"/>
      </w:pPr>
      <w:r>
        <w:drawing>
          <wp:inline>
            <wp:extent cx="6108700" cy="2850726"/>
            <wp:effectExtent b="0" l="0" r="0" t="0"/>
            <wp:docPr descr="Рисунок 5.2 — Пример фрагмента реального OCR-вывода Tesseract и проверенного эталона" title="" id="868" name="Picture"/>
            <a:graphic>
              <a:graphicData uri="http://schemas.openxmlformats.org/drawingml/2006/picture">
                <pic:pic>
                  <pic:nvPicPr>
                    <pic:cNvPr descr="figures/fig04_real_ocr_example.png" id="869" name="Picture"/>
                    <pic:cNvPicPr>
                      <a:picLocks noChangeArrowheads="1" noChangeAspect="1"/>
                    </pic:cNvPicPr>
                  </pic:nvPicPr>
                  <pic:blipFill>
                    <a:blip r:embed="rId867"/>
                    <a:stretch>
                      <a:fillRect/>
                    </a:stretch>
                  </pic:blipFill>
                  <pic:spPr bwMode="auto">
                    <a:xfrm>
                      <a:off x="0" y="0"/>
                      <a:ext cx="6108700" cy="2850726"/>
                    </a:xfrm>
                    <a:prstGeom prst="rect">
                      <a:avLst/>
                    </a:prstGeom>
                    <a:noFill/>
                    <a:ln w="9525">
                      <a:noFill/>
                      <a:headEnd/>
                      <a:tailEnd/>
                    </a:ln>
                  </pic:spPr>
                </pic:pic>
              </a:graphicData>
            </a:graphic>
          </wp:inline>
        </w:drawing>
      </w:r>
    </w:p>
    <w:p>
      <w:pPr>
        <w:pStyle w:val="ImageCaption"/>
      </w:pPr>
      <w:r>
        <w:t xml:space="preserve">Рисунок 5.2 — Пример фрагмента реального OCR-вывода Tesseract и проверенного эталона</w:t>
      </w:r>
    </w:p>
    <w:p>
      <w:pPr>
        <w:pStyle w:val="BodyText"/>
      </w:pPr>
      <w:r>
        <w:t xml:space="preserve">Рисунок 5.2 показывает, что реальный OCR-вывод отличается от синтетических искажений: в нём возникают ошибки чтения строки, пропуски, лишние символы и более сложные искажения последовательности.</w:t>
      </w:r>
    </w:p>
    <w:p>
      <w:pPr>
        <w:pStyle w:val="BodyText"/>
      </w:pPr>
      <w:r>
        <w:t xml:space="preserve">После синтетического эксперимента я отдельно проверил перенос на реальный OCR-вывод. Эта часть нужна для того, чтобы не смешивать два разных результата: работу модели на контролируемом шуме и её поведение на тексте, полученном настоящей OCR-системой.</w:t>
      </w:r>
    </w:p>
    <w:p>
      <w:pPr>
        <w:pStyle w:val="BodyText"/>
      </w:pPr>
      <w:r>
        <w:t xml:space="preserve">Для проверки использован османско-турецкий печатный источник в арабской графике. Он рассматривается как связанный арабографичный тюркский материал, но не как старотатарский или старобашкирский набор данных. После фильтрации в расчёт вошли 68 страниц. Сравнивались три варианта: исходный Tesseract, ByT5-small с разбиением страницы на фрагменты и ByT5-small со строгой фильтрацией предсказаний.</w:t>
      </w:r>
    </w:p>
    <w:p>
      <w:pPr>
        <w:pStyle w:val="BodyText"/>
      </w:pPr>
      <w:r>
        <w:t xml:space="preserve">Основные символные метрики проверки на реальном OCR представлены ниже. Для компактности</w:t>
      </w:r>
      <w:r>
        <w:t xml:space="preserve"> </w:t>
      </w:r>
      <w:r>
        <w:rPr>
          <w:rStyle w:val="VerbatimChar"/>
        </w:rPr>
        <w:t xml:space="preserve">NS-CER</w:t>
      </w:r>
      <w:r>
        <w:t xml:space="preserve"> </w:t>
      </w:r>
      <w:r>
        <w:t xml:space="preserve">обозначает NoSpaceCER.</w:t>
      </w:r>
    </w:p>
    <w:p>
      <w:pPr>
        <w:pStyle w:val="BodyText"/>
      </w:pPr>
      <w:r>
        <w:rPr>
          <w:b/>
          <w:bCs/>
        </w:rPr>
        <w:t xml:space="preserve">Таблица 5.2 — Проверка переноса на постраничном реальном OCR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Система</w:t>
            </w:r>
          </w:p>
        </w:tc>
        <w:tc>
          <w:tcPr/>
          <w:p>
            <w:pPr>
              <w:pStyle w:val="Compact"/>
              <w:jc w:val="right"/>
            </w:pPr>
            <w:r>
              <w:t xml:space="preserve">Стр.</w:t>
            </w:r>
          </w:p>
        </w:tc>
        <w:tc>
          <w:tcPr/>
          <w:p>
            <w:pPr>
              <w:pStyle w:val="Compact"/>
              <w:jc w:val="right"/>
            </w:pPr>
            <w:r>
              <w:t xml:space="preserve">CER ср.</w:t>
            </w:r>
          </w:p>
        </w:tc>
        <w:tc>
          <w:tcPr/>
          <w:p>
            <w:pPr>
              <w:pStyle w:val="Compact"/>
              <w:jc w:val="right"/>
            </w:pPr>
            <w:r>
              <w:t xml:space="preserve">CER мед.</w:t>
            </w:r>
          </w:p>
        </w:tc>
        <w:tc>
          <w:tcPr/>
          <w:p>
            <w:pPr>
              <w:pStyle w:val="Compact"/>
              <w:jc w:val="right"/>
            </w:pPr>
            <w:r>
              <w:t xml:space="preserve">NS-CER</w:t>
            </w:r>
          </w:p>
        </w:tc>
      </w:tr>
      <w:tr>
        <w:tc>
          <w:tcPr/>
          <w:p>
            <w:pPr>
              <w:pStyle w:val="Compact"/>
            </w:pPr>
            <w:r>
              <w:t xml:space="preserve">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0.3421</w:t>
            </w:r>
          </w:p>
        </w:tc>
      </w:tr>
      <w:tr>
        <w:tc>
          <w:tcPr/>
          <w:p>
            <w:pPr>
              <w:pStyle w:val="Compact"/>
            </w:pPr>
            <w:r>
              <w:t xml:space="preserve">ByT5-frag</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0.4658</w:t>
            </w:r>
          </w:p>
        </w:tc>
      </w:tr>
      <w:tr>
        <w:tc>
          <w:tcPr/>
          <w:p>
            <w:pPr>
              <w:pStyle w:val="Compact"/>
            </w:pPr>
            <w:r>
              <w:t xml:space="preserve">ByT5-filter</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0.3830</w:t>
            </w:r>
          </w:p>
        </w:tc>
      </w:tr>
    </w:tbl>
    <w:p>
      <w:pPr>
        <w:pStyle w:val="BodyText"/>
      </w:pPr>
      <w:r>
        <w:t xml:space="preserve">Метрики на уровне слов приведены отдельно.</w:t>
      </w:r>
    </w:p>
    <w:p>
      <w:pPr>
        <w:pStyle w:val="BodyText"/>
      </w:pPr>
      <w:r>
        <w:rPr>
          <w:b/>
          <w:bCs/>
        </w:rPr>
        <w:t xml:space="preserve">Таблица 5.3 — Словные метрики переноса на реальном OCR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Система</w:t>
            </w:r>
          </w:p>
        </w:tc>
        <w:tc>
          <w:tcPr/>
          <w:p>
            <w:pPr>
              <w:pStyle w:val="Compact"/>
              <w:jc w:val="right"/>
            </w:pPr>
            <w:r>
              <w:t xml:space="preserve">WER ср.</w:t>
            </w:r>
          </w:p>
        </w:tc>
        <w:tc>
          <w:tcPr/>
          <w:p>
            <w:pPr>
              <w:pStyle w:val="Compact"/>
              <w:jc w:val="right"/>
            </w:pPr>
            <w:r>
              <w:t xml:space="preserve">WER мед.</w:t>
            </w:r>
          </w:p>
        </w:tc>
      </w:tr>
      <w:tr>
        <w:tc>
          <w:tcPr/>
          <w:p>
            <w:pPr>
              <w:pStyle w:val="Compact"/>
            </w:pPr>
            <w:r>
              <w:t xml:space="preserve">Tesseract</w:t>
            </w:r>
          </w:p>
        </w:tc>
        <w:tc>
          <w:tcPr/>
          <w:p>
            <w:pPr>
              <w:pStyle w:val="Compact"/>
              <w:jc w:val="right"/>
            </w:pPr>
            <w:r>
              <w:t xml:space="preserve">0.9238</w:t>
            </w:r>
          </w:p>
        </w:tc>
        <w:tc>
          <w:tcPr/>
          <w:p>
            <w:pPr>
              <w:pStyle w:val="Compact"/>
              <w:jc w:val="right"/>
            </w:pPr>
            <w:r>
              <w:t xml:space="preserve">0.8943</w:t>
            </w:r>
          </w:p>
        </w:tc>
      </w:tr>
      <w:tr>
        <w:tc>
          <w:tcPr/>
          <w:p>
            <w:pPr>
              <w:pStyle w:val="Compact"/>
            </w:pPr>
            <w:r>
              <w:t xml:space="preserve">ByT5-frag</w:t>
            </w:r>
          </w:p>
        </w:tc>
        <w:tc>
          <w:tcPr/>
          <w:p>
            <w:pPr>
              <w:pStyle w:val="Compact"/>
              <w:jc w:val="right"/>
            </w:pPr>
            <w:r>
              <w:t xml:space="preserve">0.8919</w:t>
            </w:r>
          </w:p>
        </w:tc>
        <w:tc>
          <w:tcPr/>
          <w:p>
            <w:pPr>
              <w:pStyle w:val="Compact"/>
              <w:jc w:val="right"/>
            </w:pPr>
            <w:r>
              <w:t xml:space="preserve">0.8579</w:t>
            </w:r>
          </w:p>
        </w:tc>
      </w:tr>
      <w:tr>
        <w:tc>
          <w:tcPr/>
          <w:p>
            <w:pPr>
              <w:pStyle w:val="Compact"/>
            </w:pPr>
            <w:r>
              <w:t xml:space="preserve">ByT5-filter</w:t>
            </w:r>
          </w:p>
        </w:tc>
        <w:tc>
          <w:tcPr/>
          <w:p>
            <w:pPr>
              <w:pStyle w:val="Compact"/>
              <w:jc w:val="right"/>
            </w:pPr>
            <w:r>
              <w:t xml:space="preserve">0.9039</w:t>
            </w:r>
          </w:p>
        </w:tc>
        <w:tc>
          <w:tcPr/>
          <w:p>
            <w:pPr>
              <w:pStyle w:val="Compact"/>
              <w:jc w:val="right"/>
            </w:pPr>
            <w:r>
              <w:t xml:space="preserve">0.8605</w:t>
            </w:r>
          </w:p>
        </w:tc>
      </w:tr>
    </w:tbl>
    <w:p>
      <w:pPr>
        <w:pStyle w:val="BodyText"/>
      </w:pPr>
      <w:r>
        <w:t xml:space="preserve">Результат получился смешанным. По WER посткоррекция немного помогает: вариант с фрагментами снижает средний WER с 0.9238 до 0.8919. Но по CER и NoSpaceCER исходный Tesseract остаётся лучше. Для OCR на арабской графике это принципиально: улучшение границ слов не компенсирует ухудшение символного состава.</w:t>
      </w:r>
    </w:p>
    <w:bookmarkEnd w:id="870"/>
    <w:bookmarkStart w:id="874" w:name="постраничное-поведение-модели"/>
    <w:p>
      <w:pPr>
        <w:pStyle w:val="Heading3"/>
      </w:pPr>
      <w:r>
        <w:t xml:space="preserve">5.13 Постраничное поведение модели</w:t>
      </w:r>
    </w:p>
    <w:p>
      <w:pPr>
        <w:pStyle w:val="CaptionedFigure"/>
      </w:pPr>
      <w:r>
        <w:drawing>
          <wp:inline>
            <wp:extent cx="6108700" cy="3080909"/>
            <wp:effectExtent b="0" l="0" r="0" t="0"/>
            <wp:docPr descr="Рисунок 5.3 — Средние ошибки real-OCR sanity по страницам" title="" id="872" name="Picture"/>
            <a:graphic>
              <a:graphicData uri="http://schemas.openxmlformats.org/drawingml/2006/picture">
                <pic:pic>
                  <pic:nvPicPr>
                    <pic:cNvPr descr="figures/fig05_real_ocr_page_metrics.png" id="873" name="Picture"/>
                    <pic:cNvPicPr>
                      <a:picLocks noChangeArrowheads="1" noChangeAspect="1"/>
                    </pic:cNvPicPr>
                  </pic:nvPicPr>
                  <pic:blipFill>
                    <a:blip r:embed="rId871"/>
                    <a:stretch>
                      <a:fillRect/>
                    </a:stretch>
                  </pic:blipFill>
                  <pic:spPr bwMode="auto">
                    <a:xfrm>
                      <a:off x="0" y="0"/>
                      <a:ext cx="6108700" cy="3080909"/>
                    </a:xfrm>
                    <a:prstGeom prst="rect">
                      <a:avLst/>
                    </a:prstGeom>
                    <a:noFill/>
                    <a:ln w="9525">
                      <a:noFill/>
                      <a:headEnd/>
                      <a:tailEnd/>
                    </a:ln>
                  </pic:spPr>
                </pic:pic>
              </a:graphicData>
            </a:graphic>
          </wp:inline>
        </w:drawing>
      </w:r>
    </w:p>
    <w:p>
      <w:pPr>
        <w:pStyle w:val="ImageCaption"/>
      </w:pPr>
      <w:r>
        <w:t xml:space="preserve">Рисунок 5.3 — Средние ошибки real-OCR sanity по страницам</w:t>
      </w:r>
    </w:p>
    <w:p>
      <w:pPr>
        <w:pStyle w:val="BodyText"/>
      </w:pPr>
      <w:r>
        <w:t xml:space="preserve">Рисунок 5.3 показывает неоднородность real-OCR проверки по страницам. Это подчёркивает главный ограничивающий результат: перенос модели, обученной только на синтетическом шуме, остаётся нестабильным и зависит от конкретной страницы.</w:t>
      </w:r>
    </w:p>
    <w:p>
      <w:pPr>
        <w:pStyle w:val="BodyText"/>
      </w:pPr>
      <w:r>
        <w:t xml:space="preserve">Для проверки безопасности посткоррекции я отдельно посчитал, на скольких страницах модель улучшает или ухудшает CER относительно исходного Tesseract.</w:t>
      </w:r>
    </w:p>
    <w:p>
      <w:pPr>
        <w:pStyle w:val="BodyText"/>
      </w:pPr>
      <w:r>
        <w:rPr>
          <w:b/>
          <w:bCs/>
        </w:rPr>
        <w:t xml:space="preserve">Таблица 5.4 — Постраничное поведение модели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ByT5-frag</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ByT5-filter</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фильтрации модель улучшает только 6 страниц из 68 и ухудшает 62. Это означает, что прямое применение модели, обученной только на синтетическом шуме, к постраничному OCR небезопасно. Строгая фильтрация заметно уменьшает риск: число улучшенных страниц растёт до 33, а число ухудшенных снижается до 32. Но даже после фильтрации средний CER остаётся хуже, чем у исходного Tesseract.</w:t>
      </w:r>
    </w:p>
    <w:p>
      <w:pPr>
        <w:pStyle w:val="BodyText"/>
      </w:pPr>
      <w:r>
        <w:t xml:space="preserve">Этот результат полезнее, чем простой положительный отчёт о синтетических метриках. Он показывает место, где текущий подход ломается: модель выучила распределение синтетических ошибок, но не структуру настоящих ошибок Tesseract на конкретном печатном источнике.</w:t>
      </w:r>
    </w:p>
    <w:bookmarkEnd w:id="874"/>
    <w:bookmarkStart w:id="878" w:name="качественная-интерпретация-real-ocr"/>
    <w:p>
      <w:pPr>
        <w:pStyle w:val="Heading3"/>
      </w:pPr>
      <w:r>
        <w:t xml:space="preserve">5.14 Качественная интерпретация real OCR</w:t>
      </w:r>
    </w:p>
    <w:p>
      <w:pPr>
        <w:pStyle w:val="FirstParagraph"/>
      </w:pPr>
      <w:r>
        <w:t xml:space="preserve">В качественном разборе видно, что модель иногда исправляет пробелы и отдельные локальные искажения, но также может чрезмерно менять строку. На реальном OCR такие изменения опаснее, чем на синтетическом наборе: страница содержит ошибки сегментации, артефакты порядка чтения и фрагменты, которых не было в генераторе шума.</w:t>
      </w:r>
    </w:p>
    <w:p>
      <w:pPr>
        <w:pStyle w:val="BodyText"/>
      </w:pPr>
      <w:r>
        <w:t xml:space="preserve">Строгая фильтрация работает как защитный откат. Она отбрасывает предсказания, которые слишком сильно отличаются от исходного OCR по длине или расстоянию редактирования. Такой механизм не делает модель сильнее, но уменьшает число явно вредных исправлений. В будущей системе посткоррекции такой откат нужен обязательно: модель не должна заменять исходный OCR, если сама не даёт достаточно надёжного улучшения.</w:t>
      </w:r>
    </w:p>
    <w:p>
      <w:pPr>
        <w:pStyle w:val="BodyText"/>
      </w:pPr>
      <w:r>
        <w:t xml:space="preserve">Главный вывод этой проверки состоит в том, что обучение только на синтетике недостаточно. Для настоящего OCR нужны пары, где входом является реальный OCR-вывод, а выходом — проверенный эталонный текст. Только на таких данных можно понять, какие ошибки модель действительно исправляет, а какие создаёт сама.</w:t>
      </w:r>
    </w:p>
    <w:p>
      <w:pPr>
        <w:pStyle w:val="BodyText"/>
      </w:pPr>
      <w:r>
        <w:t xml:space="preserve">Дополнительно для оценки устойчивости средних метрик была проведена bootstrap-оценка по тестовым примерам. На синтетическом тестовом наборе ByT5-small 512 / 2 epochs показывает наиболее устойчивое улучшение по WER: среднее значение составляет 0.369 с 95% bootstrap-интервалом [0.350; 0.391], тогда как identity baseline даёт 0.519 [0.508; 0.530]. По CER и NoSpaceCER результат требует более осторожной интерпретации: средний CER ByT5 составляет 0.080 [0.065; 0.099], а интервал шире и пересекается с частью базовых методов. Это подтверждает основной вывод эксперимента: модель заметно улучшает word-level ошибку на синтетическом наборе, но символный уровень и перенос на настоящий OCR требуют отдельной проверки.</w:t>
      </w:r>
    </w:p>
    <w:p>
      <w:pPr>
        <w:pStyle w:val="CaptionedFigure"/>
      </w:pPr>
      <w:r>
        <w:drawing>
          <wp:inline>
            <wp:extent cx="6108700" cy="3359784"/>
            <wp:effectExtent b="0" l="0" r="0" t="0"/>
            <wp:docPr descr="Рисунок 5.4 — Bootstrap-оценка 95% доверительных интервалов для метрик на синтетическом тестовом наборе" title="" id="876" name="Picture"/>
            <a:graphic>
              <a:graphicData uri="http://schemas.openxmlformats.org/drawingml/2006/picture">
                <pic:pic>
                  <pic:nvPicPr>
                    <pic:cNvPr descr="figures/fig06_bootstrap_metric_ci.png" id="877" name="Picture"/>
                    <pic:cNvPicPr>
                      <a:picLocks noChangeArrowheads="1" noChangeAspect="1"/>
                    </pic:cNvPicPr>
                  </pic:nvPicPr>
                  <pic:blipFill>
                    <a:blip r:embed="rId875"/>
                    <a:stretch>
                      <a:fillRect/>
                    </a:stretch>
                  </pic:blipFill>
                  <pic:spPr bwMode="auto">
                    <a:xfrm>
                      <a:off x="0" y="0"/>
                      <a:ext cx="6108700" cy="3359784"/>
                    </a:xfrm>
                    <a:prstGeom prst="rect">
                      <a:avLst/>
                    </a:prstGeom>
                    <a:noFill/>
                    <a:ln w="9525">
                      <a:noFill/>
                      <a:headEnd/>
                      <a:tailEnd/>
                    </a:ln>
                  </pic:spPr>
                </pic:pic>
              </a:graphicData>
            </a:graphic>
          </wp:inline>
        </w:drawing>
      </w:r>
    </w:p>
    <w:p>
      <w:pPr>
        <w:pStyle w:val="ImageCaption"/>
      </w:pPr>
      <w:r>
        <w:t xml:space="preserve">Рисунок 5.4 — Bootstrap-оценка 95% доверительных интервалов для метрик на синтетическом тестовом наборе</w:t>
      </w:r>
    </w:p>
    <w:p>
      <w:pPr>
        <w:pStyle w:val="BodyText"/>
      </w:pPr>
      <w:r>
        <w:t xml:space="preserve">На дополнительной real-OCR sanity-проверке доверительные интервалы также перекрываются: CER исходного OCR составляет 0.451 [0.389; 0.520], а CER синтетически обученной ByT5-модели — 0.436 [0.375; 0.503]. Поэтому этот результат не следует интерпретировать как надёжное улучшение на реальном OCR; он используется только как sanity-check и подтверждает необходимость адаптации на настоящих OCR/эталонных парах.</w:t>
      </w:r>
    </w:p>
    <w:bookmarkEnd w:id="878"/>
    <w:bookmarkStart w:id="879" w:name="выводы-и-результаты-по-главе-3"/>
    <w:p>
      <w:pPr>
        <w:pStyle w:val="Heading3"/>
      </w:pPr>
      <w:r>
        <w:t xml:space="preserve">5.15 Выводы и результаты по главе</w:t>
      </w:r>
    </w:p>
    <w:p>
      <w:pPr>
        <w:pStyle w:val="FirstParagraph"/>
      </w:pPr>
      <w:r>
        <w:t xml:space="preserve">Раздел результатов показывает две разные картины. На синтетическом наборе ByT5-small 512 превосходит метод без исправления, нормализатор на правилах и символьный метод. Она улучшает большинство тестовых строк и особенно заметно снижает WER.</w:t>
      </w:r>
    </w:p>
    <w:p>
      <w:pPr>
        <w:pStyle w:val="BodyText"/>
      </w:pPr>
      <w:r>
        <w:t xml:space="preserve">Проверка на реальном OCR ограничивает этот вывод. На постраничном OCR османско-турецкого источника модель, обученная только на синтетических ошибках, не превосходит исходный Tesseract по CER. Без фильтрации она ухудшает большинство страниц; с фильтрацией становится безопаснее, но всё равно не даёт среднего выигрыша по символным метрикам.</w:t>
      </w:r>
    </w:p>
    <w:p>
      <w:pPr>
        <w:pStyle w:val="BodyText"/>
      </w:pPr>
      <w:r>
        <w:t xml:space="preserve">Итог раздела такой: экспериментальный контур и обучение модели работают в контролируемой среде, но переход к реальным историческим сканам требует отдельной адаптации. Это не дополнительная косметическая проверка, а центральное условие практической применимости. Без настоящих пар «OCR-вывод — эталон» нельзя утверждать, что модель решает задачу OCR-посткоррекции для архивных источников.</w:t>
      </w:r>
    </w:p>
    <w:bookmarkEnd w:id="879"/>
    <w:bookmarkEnd w:id="880"/>
    <w:bookmarkStart w:id="892" w:name="Xe8e02886c60b8939714d6e867e04f7997a20272"/>
    <w:p>
      <w:pPr>
        <w:pStyle w:val="Heading2"/>
      </w:pPr>
      <w:r>
        <w:t xml:space="preserve">6. Ограничения и направления дальнейшей работы</w:t>
      </w:r>
    </w:p>
    <w:bookmarkStart w:id="881" w:name="ограничения-корпуса-1"/>
    <w:p>
      <w:pPr>
        <w:pStyle w:val="Heading3"/>
      </w:pPr>
      <w:r>
        <w:t xml:space="preserve">6.1 Ограничения корпуса</w:t>
      </w:r>
    </w:p>
    <w:p>
      <w:pPr>
        <w:pStyle w:val="FirstParagraph"/>
      </w:pPr>
      <w:r>
        <w:t xml:space="preserve">Текущий корпус имеет ограниченный масштаб. В работе используется 400 эталонных текстовых блоков из одного основного арабографичного тюркского источника. Этого достаточно, чтобы проверить экспериментальную схему, но недостаточно, чтобы делать вывод о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Тексты разных регионов и периодов могут отличаться письмом, лексикой, типографикой, качеством печати и состоянием скана. Отдельно важно, что старотатарские и старобашкирские источники пока остаются целью следующего этапа, а не основным набором оценки в этой версии.</w:t>
      </w:r>
    </w:p>
    <w:bookmarkEnd w:id="881"/>
    <w:bookmarkStart w:id="882" w:name="ограничения-синтетического-шума-1"/>
    <w:p>
      <w:pPr>
        <w:pStyle w:val="Heading3"/>
      </w:pPr>
      <w:r>
        <w:t xml:space="preserve">6.2 Ограничения синтетического шума</w:t>
      </w:r>
    </w:p>
    <w:p>
      <w:pPr>
        <w:pStyle w:val="FirstParagraph"/>
      </w:pPr>
      <w:r>
        <w:t xml:space="preserve">Синтетический шум удобен для первого эксперимента: известен эталон, контролируется разбиение данных, а все методы сравниваются в одинаковых условиях. Но такой шум не является настоящим OCR-выводом. Он не содержит качества скана, особенностей шрифта, ошибок выделения строк, смешения фрагментов страницы и систематических ошибок конкретной OCR-модели.</w:t>
      </w:r>
    </w:p>
    <w:p>
      <w:pPr>
        <w:pStyle w:val="BodyText"/>
      </w:pPr>
      <w:r>
        <w:t xml:space="preserve">Практически это означает следующее: увеличение объёма синтетики само по себе не решит задачу. Следующая версия должна строиться вокруг реальных пар «OCR-вывод — эталон». Синтетические данные можно оставить как вспомогательный слой, но основной тест должен проверять настоящие ошибки распознавания.</w:t>
      </w:r>
    </w:p>
    <w:bookmarkEnd w:id="882"/>
    <w:bookmarkStart w:id="883" w:name="ограничения-метрик"/>
    <w:p>
      <w:pPr>
        <w:pStyle w:val="Heading3"/>
      </w:pPr>
      <w:r>
        <w:t xml:space="preserve">6.3 Ограничения метрик</w:t>
      </w:r>
    </w:p>
    <w:p>
      <w:pPr>
        <w:pStyle w:val="FirstParagraph"/>
      </w:pPr>
      <w:r>
        <w:t xml:space="preserve">CER, WER, NoSpaceCER и ExactMatch дают полезную, но неполную картину качества. CER чувствителен к символам, WER — к границам слов, NoSpaceCER помогает отделить пробельные ошибки, ExactMatch слишком строг для длинных строк. Вместе они описывают формальную близость к эталону, но не заменяют экспертную оценку.</w:t>
      </w:r>
    </w:p>
    <w:p>
      <w:pPr>
        <w:pStyle w:val="BodyText"/>
      </w:pPr>
      <w:r>
        <w:t xml:space="preserve">Для следующей версии набора нужна ручная проверка небольшой подвыборки. В ней следует фиксировать не только факт ошибки, но и её тип: замену графемы, пропуск, лишнюю вставку, ошибку пробела, чрезмерную нормализацию исторического написания, повтор фрагмента или грубое искажение строки. Тогда автоматические метрики можно будет связать с реальным качеством текста.</w:t>
      </w:r>
    </w:p>
    <w:bookmarkEnd w:id="883"/>
    <w:bookmarkStart w:id="884" w:name="ограничения-проверки-на-реальном-ocr"/>
    <w:p>
      <w:pPr>
        <w:pStyle w:val="Heading3"/>
      </w:pPr>
      <w:r>
        <w:t xml:space="preserve">6.4 Ограничения проверки на реальном OCR</w:t>
      </w:r>
    </w:p>
    <w:p>
      <w:pPr>
        <w:pStyle w:val="FirstParagraph"/>
      </w:pPr>
      <w:r>
        <w:t xml:space="preserve">Проверка на реальном OCR в этой работе уже показывает главное ограничение синтетического обучения, но сама она тоже остаётся предварительной. Используется османско-турецкий печатный источник, а не старотатарский или старобашкирский материал. Кроме того, оценка выполнена на постраничном уровне, где на результат влияют длина страницы, разбиение на фрагменты и качество сопоставления с эталоном.</w:t>
      </w:r>
    </w:p>
    <w:p>
      <w:pPr>
        <w:pStyle w:val="BodyText"/>
      </w:pPr>
      <w:r>
        <w:t xml:space="preserve">Следующий шаг — перейти от постраничной оценки к более точным парам на уровне строки или короткого фрагмента. Для этого нужно выделить строки на изображении, получить OCR-вывод, сопоставить его с проверенным текстом и вручную проверить спорные случаи. Такая работа труднее, но именно она позволит обучать модель на настоящих ошибках, а не только проверять перенос с синтетики.</w:t>
      </w:r>
    </w:p>
    <w:bookmarkEnd w:id="884"/>
    <w:bookmarkStart w:id="885" w:name="следующий-набор-данных"/>
    <w:p>
      <w:pPr>
        <w:pStyle w:val="Heading3"/>
      </w:pPr>
      <w:r>
        <w:t xml:space="preserve">6.5 Следующий набор данных</w:t>
      </w:r>
    </w:p>
    <w:p>
      <w:pPr>
        <w:pStyle w:val="FirstParagraph"/>
      </w:pPr>
      <w:r>
        <w:t xml:space="preserve">Следующая версия набора данных должна включать несколько типов источников. Минимальный вариант — добавить старотатарские и старобашкирские страницы, для которых можно получить скан, OCR-вывод и проверенный эталон. Для каждой страницы нужно хранить источник, год или примерный период, тип печати, качество скана и способ получения OCR.</w:t>
      </w:r>
    </w:p>
    <w:p>
      <w:pPr>
        <w:pStyle w:val="BodyText"/>
      </w:pPr>
      <w:r>
        <w:t xml:space="preserve">Отдельно нужен журнал ошибок. В нём стоит фиксировать, какие графемы чаще всего путает OCR, где возникают проблемы пробелов, какие строки модель ухудшает и какие предсказания нужно откатывать. Такой журнал важнее ещё одного общего числа CER, потому что он показывает, как именно улучшать систему.</w:t>
      </w:r>
    </w:p>
    <w:bookmarkEnd w:id="885"/>
    <w:bookmarkStart w:id="886" w:name="X91867cc38c0f4e6667de3b2a642ec76d2863e9f"/>
    <w:p>
      <w:pPr>
        <w:pStyle w:val="Heading3"/>
      </w:pPr>
      <w:r>
        <w:t xml:space="preserve">6.6 Переход к системе анализа исторических источников</w:t>
      </w:r>
    </w:p>
    <w:p>
      <w:pPr>
        <w:pStyle w:val="FirstParagraph"/>
      </w:pPr>
      <w:r>
        <w:t xml:space="preserve">В более широкой магистерской работе посткоррекция OCR может стать одним из компонентов системы анализа арабографичных тюркских источников. Такая система может включать выделение строк на изображении, OCR/HTR, посткоррекцию, извлечение имён и топонимов, сопоставление архивных записей и построение связей между людьми, местами и документами.</w:t>
      </w:r>
    </w:p>
    <w:p>
      <w:pPr>
        <w:pStyle w:val="BodyText"/>
      </w:pPr>
      <w:r>
        <w:t xml:space="preserve">Текущая работа полезна тем, что заранее показывает слабое место этой цепочки. До извлечения сущностей и построения графа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финальным украшением проекта, а одним из первых этапов разработки.</w:t>
      </w:r>
    </w:p>
    <w:bookmarkEnd w:id="886"/>
    <w:bookmarkStart w:id="890" w:name="демонстрационный-интерфейс"/>
    <w:p>
      <w:pPr>
        <w:pStyle w:val="Heading3"/>
      </w:pPr>
      <w:r>
        <w:t xml:space="preserve">6.7 Демонстрационный интерфейс</w:t>
      </w:r>
    </w:p>
    <w:p>
      <w:pPr>
        <w:pStyle w:val="FirstParagraph"/>
      </w:pPr>
      <w:r>
        <w:t xml:space="preserve">В качестве дополнительного практического артефакта был реализован минимальный Streamlit-интерфейс для демонстрации постановки посткоррекции OCR. Интерфейс позволяет выбрать сохранённый пример из экспериментальных таблиц или вставить собственный OCR-текст, после чего локальная ByT5-модель выполняет посткоррекцию. Большие checkpoint-файлы модели не хранятся в репозитории; для запуска с локальной моделью используется переменная окружения</w:t>
      </w:r>
      <w:r>
        <w:t xml:space="preserve"> </w:t>
      </w:r>
      <w:r>
        <w:rPr>
          <w:rStyle w:val="VerbatimChar"/>
        </w:rPr>
        <w:t xml:space="preserve">POSTCORRECTION_MODEL_DIR</w:t>
      </w:r>
      <w:r>
        <w:t xml:space="preserve">.</w:t>
      </w:r>
    </w:p>
    <w:p>
      <w:pPr>
        <w:pStyle w:val="CaptionedFigure"/>
      </w:pPr>
      <w:r>
        <w:drawing>
          <wp:inline>
            <wp:extent cx="6108700" cy="2901632"/>
            <wp:effectExtent b="0" l="0" r="0" t="0"/>
            <wp:docPr descr="Рисунок 6.1 — Демонстрационный Streamlit-интерфейс с локально подключённой ByT5-моделью" title="" id="888" name="Picture"/>
            <a:graphic>
              <a:graphicData uri="http://schemas.openxmlformats.org/drawingml/2006/picture">
                <pic:pic>
                  <pic:nvPicPr>
                    <pic:cNvPr descr="figures/fig07_streamlit_demo.png" id="889" name="Picture"/>
                    <pic:cNvPicPr>
                      <a:picLocks noChangeArrowheads="1" noChangeAspect="1"/>
                    </pic:cNvPicPr>
                  </pic:nvPicPr>
                  <pic:blipFill>
                    <a:blip r:embed="rId887"/>
                    <a:stretch>
                      <a:fillRect/>
                    </a:stretch>
                  </pic:blipFill>
                  <pic:spPr bwMode="auto">
                    <a:xfrm>
                      <a:off x="0" y="0"/>
                      <a:ext cx="6108700" cy="2901632"/>
                    </a:xfrm>
                    <a:prstGeom prst="rect">
                      <a:avLst/>
                    </a:prstGeom>
                    <a:noFill/>
                    <a:ln w="9525">
                      <a:noFill/>
                      <a:headEnd/>
                      <a:tailEnd/>
                    </a:ln>
                  </pic:spPr>
                </pic:pic>
              </a:graphicData>
            </a:graphic>
          </wp:inline>
        </w:drawing>
      </w:r>
    </w:p>
    <w:p>
      <w:pPr>
        <w:pStyle w:val="ImageCaption"/>
      </w:pPr>
      <w:r>
        <w:t xml:space="preserve">Рисунок 6.1 — Демонстрационный Streamlit-интерфейс с локально подключённой ByT5-моделью</w:t>
      </w:r>
    </w:p>
    <w:p>
      <w:pPr>
        <w:pStyle w:val="BodyText"/>
      </w:pPr>
      <w:r>
        <w:t xml:space="preserve">Данный интерфейс не рассматривается как production OCR-система. Его задача — показать, как обученный модуль посткоррекции может быть подключён к простому пользовательскому процессу</w:t>
      </w:r>
      <w:r>
        <w:t xml:space="preserve"> </w:t>
      </w:r>
      <w:r>
        <w:rPr>
          <w:rStyle w:val="VerbatimChar"/>
        </w:rPr>
        <w:t xml:space="preserve">OCR/noisy text → corrected text</w:t>
      </w:r>
      <w:r>
        <w:t xml:space="preserve">. Ограничения, выявленные в экспериментах на реальном OCR, сохраняются: для надёжной работы на архивных материалах требуется адаптация модели на настоящих OCR/эталонных парах.</w:t>
      </w:r>
    </w:p>
    <w:bookmarkEnd w:id="890"/>
    <w:bookmarkStart w:id="891" w:name="выводы-и-результаты-по-главе-4"/>
    <w:p>
      <w:pPr>
        <w:pStyle w:val="Heading3"/>
      </w:pPr>
      <w:r>
        <w:t xml:space="preserve">6.8 Выводы и результаты по главе</w:t>
      </w:r>
    </w:p>
    <w:p>
      <w:pPr>
        <w:pStyle w:val="FirstParagraph"/>
      </w:pPr>
      <w:r>
        <w:t xml:space="preserve">В главе сформулированы основные ограничения работы и направления дальнейшего развития. Главные ограничения связаны с небольшим объёмом корпуса, синтетической природой обучающих искажений, одним основным османско-турецким источником и нестабильным переносом на реальный OCR-вывод Tesseract. Из этого следует практический вывод: следующий этап должен быть связан не с усложнением модели как таковой, а со сбором выровненных пар «OCR-вывод — эталон», ручной проверкой татарских и башкирских источников и более строгой постраничной оценкой.</w:t>
      </w:r>
    </w:p>
    <w:bookmarkEnd w:id="891"/>
    <w:bookmarkEnd w:id="892"/>
    <w:bookmarkStart w:id="893" w:name="заключение"/>
    <w:p>
      <w:pPr>
        <w:pStyle w:val="Heading2"/>
      </w:pPr>
      <w:r>
        <w:t xml:space="preserve">7. Заключение</w:t>
      </w:r>
    </w:p>
    <w:p>
      <w:pPr>
        <w:pStyle w:val="FirstParagraph"/>
      </w:pPr>
      <w:r>
        <w:t xml:space="preserve">В работе проверен воспроизводимый контур посткоррекции OCR для исторических тюркских текстов в арабской графике. Задача была намеренно сужена: я не строил полную OCR/HTR-систему, а рассматривал текстовый этап после распознавания. На вход подавалась искажённая строка или OCR-вывод, на выходе ожидалась строка, близкая к эталону.</w:t>
      </w:r>
    </w:p>
    <w:p>
      <w:pPr>
        <w:pStyle w:val="BodyText"/>
      </w:pPr>
      <w:r>
        <w:t xml:space="preserve">На синтетическом наборе ByT5-small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улучшение оказалось неодинаковым по метрикам: WER снизился заметнее, чем CER, а ExactMatch остался низким. Это говорит не о готовой системе, а о работоспособном пилотном направлении.</w:t>
      </w:r>
    </w:p>
    <w:p>
      <w:pPr>
        <w:pStyle w:val="BodyText"/>
      </w:pPr>
      <w:r>
        <w:t xml:space="preserve">Нормализатор на правилах дал важный отрицательный результат. В проведённом эксперименте он ухудшил качество относительно метода без исправления. Для исторического арабографичного материала это существенное наблюдение: простая техническая нормализация может менять формы, которые важны для источника, и поэтому не должна применяться без отдельной проверки.</w:t>
      </w:r>
    </w:p>
    <w:p>
      <w:pPr>
        <w:pStyle w:val="BodyText"/>
      </w:pPr>
      <w:r>
        <w:t xml:space="preserve">Главное ограничение обнаружилось при переносе на реальный OCR. На постраничном выводе Tesseract модель, обученная только на синтетических искажениях, не дала среднего выигрыша по CER и NoSpaceCER. Более того, без фильтрации она ухудшала большинство страниц. Защитная фильтрация уменьшила число плохих случаев, но не превратила модель в надёжный корректор.</w:t>
      </w:r>
    </w:p>
    <w:p>
      <w:pPr>
        <w:pStyle w:val="BodyText"/>
      </w:pPr>
      <w:r>
        <w:t xml:space="preserve">Итог работы состоит не в создании готового OCR-инструмента, а в фиксации проверяемого маршрута дальнейшего исследования. Уже есть корпус, генератор ошибок, разбиение без утечки, набор базовых методов, обучение ByT5-small, метрики и отдельная проверка на реальном OCR. Следующий этап должен быть построен вокруг настоящих пар «OCR-вывод — эталон» для татарских, башкирских и других тюркских источников в арабской графике.</w:t>
      </w:r>
    </w:p>
    <w:p>
      <w:pPr>
        <w:pStyle w:val="BodyText"/>
      </w:pPr>
      <w:r>
        <w:t xml:space="preserve">Для курсовой работы такой результат достаточен: он показывает не только положительный эффект на синтетическом наборе, но и границу применимости этого эффекта. Для магистерской диссертации эта граница становится основной задачей: собрать реальные OCR-пары, описать типы ошибок, обучить модель на настоящих искажениях и проверить, можно ли безопасно использовать посткоррекцию перед дальнейшим историко-лингвистическим анализом.</w:t>
      </w:r>
    </w:p>
    <w:p>
      <w:r>
        <w:br w:type="page"/>
      </w:r>
    </w:p>
    <w:bookmarkEnd w:id="893"/>
    <w:bookmarkEnd w:id="894"/>
    <w:bookmarkStart w:id="895" w:name="библиографический-список"/>
    <w:p>
      <w:pPr>
        <w:pStyle w:val="Heading1"/>
      </w:pPr>
      <w:r>
        <w:t xml:space="preserve">Библиографический список</w:t>
      </w:r>
    </w:p>
    <w:p>
      <w:pPr>
        <w:numPr>
          <w:ilvl w:val="0"/>
          <w:numId w:val="1010"/>
        </w:numPr>
      </w:pPr>
      <w:r>
        <w:t xml:space="preserve">Vaswani, A. Attention Is All You Need [Электронный ресурс] / A. Vaswani, N. Shazeer, N. Parmar [et al.] // arXiv.org. – 2017. – arXiv:1706.03762. – URL: https://arxiv.org/abs/1706.03762 (дата обращения: 27.06.2026).</w:t>
      </w:r>
    </w:p>
    <w:p>
      <w:pPr>
        <w:numPr>
          <w:ilvl w:val="0"/>
          <w:numId w:val="1010"/>
        </w:numPr>
      </w:pPr>
      <w:r>
        <w:t xml:space="preserve">Raffel, C. Exploring the Limits of Transfer Learning with a Unified Text-to-Text Transformer [Электронный ресурс] / C. Raffel, N. Shazeer, A. Roberts [et al.] // arXiv.org. – 2019. – arXiv:1910.10683. – URL: https://arxiv.org/abs/1910.10683 (дата обращения: 27.06.2026).</w:t>
      </w:r>
    </w:p>
    <w:p>
      <w:pPr>
        <w:numPr>
          <w:ilvl w:val="0"/>
          <w:numId w:val="1010"/>
        </w:numPr>
      </w:pPr>
      <w:r>
        <w:t xml:space="preserve">Xue, L. ByT5: Towards a token-free future with pre-trained byte-to-byte models [Электронный ресурс] / L. Xue, A. Barua, N. Constant [et al.] // arXiv.org. – 2021. – arXiv:2105.13626. – URL: https://arxiv.org/abs/2105.13626 (дата обращения: 27.06.2026).</w:t>
      </w:r>
    </w:p>
    <w:p>
      <w:pPr>
        <w:numPr>
          <w:ilvl w:val="0"/>
          <w:numId w:val="1010"/>
        </w:numPr>
      </w:pPr>
      <w:r>
        <w:t xml:space="preserve">Ramirez-Orta, J. Post-OCR Document Correction with large Ensembles of Character Sequence-to-Sequence Models [Электронный ресурс] / J. Ramirez-Orta, E. Xamena, A. Maguitman [et al.] // arXiv.org. – 2021. – arXiv:2109.06264. – URL: https://arxiv.org/abs/2109.06264 (дата обращения: 27.06.2026).</w:t>
      </w:r>
    </w:p>
    <w:p>
      <w:pPr>
        <w:numPr>
          <w:ilvl w:val="0"/>
          <w:numId w:val="1010"/>
        </w:numPr>
      </w:pPr>
      <w:r>
        <w:t xml:space="preserve">Hämäläinen, M. From the Paft to the Fiiture: a Fully Automatic NMT and Word Embeddings Method for OCR Post-Correction [Электронный ресурс] / M. Hämäläinen, S. Hengchen // arXiv.org. – 2019. – arXiv:1910.05535. – URL: https://arxiv.org/abs/1910.05535 (дата обращения: 27.06.2026).</w:t>
      </w:r>
    </w:p>
    <w:p>
      <w:pPr>
        <w:numPr>
          <w:ilvl w:val="0"/>
          <w:numId w:val="1010"/>
        </w:numPr>
      </w:pPr>
      <w:r>
        <w:t xml:space="preserve">Duong, Q. An Unsupervised method for OCR Post-Correction and Spelling Normalisation for Finnish [Электронный ресурс] / Q. Duong, M. Hämäläinen, S. Hengchen // arXiv.org. – 2020. – arXiv:2011.03502. – URL: https://arxiv.org/abs/2011.03502 (дата обращения: 27.06.2026).</w:t>
      </w:r>
    </w:p>
    <w:p>
      <w:pPr>
        <w:numPr>
          <w:ilvl w:val="0"/>
          <w:numId w:val="1010"/>
        </w:numPr>
      </w:pPr>
      <w:r>
        <w:t xml:space="preserve">Suissa, O. Optimizing the Neural Network Training for OCR Error Correction of Historical Hebrew Texts [Электронный ресурс] / O. Suissa, A. Elmalech, M. Zhitomirsky-Geffet // arXiv.org. – 2023. – arXiv:2307.16220. – URL: https://arxiv.org/abs/2307.16220 (дата обращения: 27.06.2026).</w:t>
      </w:r>
    </w:p>
    <w:p>
      <w:pPr>
        <w:numPr>
          <w:ilvl w:val="0"/>
          <w:numId w:val="1010"/>
        </w:numPr>
      </w:pPr>
      <w:r>
        <w:t xml:space="preserve">Kanerva, J. OCR Error Post-Correction with LLMs in Historical Documents: No Free Lunches [Электронный ресурс] / J. Kanerva, C. Ledins, S. Käpyaho, F. Ginter // arXiv.org. – 2025. – arXiv:2502.01205. – URL: https://arxiv.org/abs/2502.01205 (дата обращения: 27.06.2026).</w:t>
      </w:r>
    </w:p>
    <w:p>
      <w:pPr>
        <w:numPr>
          <w:ilvl w:val="0"/>
          <w:numId w:val="1010"/>
        </w:numPr>
      </w:pPr>
      <w:r>
        <w:t xml:space="preserve">Reul, C. OCR4all – An Open-Source Tool Providing a (Semi-)Automatic OCR Workflow for Historical Printings [Электронный ресурс] / C. Reul, D. Christ, A. Hartelt [et al.] // arXiv.org. – 2019. – arXiv:1909.04032. – URL: https://arxiv.org/abs/1909.04032 (дата обращения: 27.06.2026).</w:t>
      </w:r>
    </w:p>
    <w:p>
      <w:pPr>
        <w:numPr>
          <w:ilvl w:val="0"/>
          <w:numId w:val="1010"/>
        </w:numPr>
      </w:pPr>
      <w:r>
        <w:t xml:space="preserve">Springmann, U. Ground Truth for training OCR engines on historical documents in German Fraktur and Early Modern Latin [Электронный ресурс] / U. Springmann, C. Reul, S. Dipper, J. Baiter // arXiv.org. – 2018. – arXiv:1809.05501. – URL: https://arxiv.org/abs/1809.05501 (дата обращения: 27.06.2026).</w:t>
      </w:r>
    </w:p>
    <w:p>
      <w:pPr>
        <w:numPr>
          <w:ilvl w:val="0"/>
          <w:numId w:val="1010"/>
        </w:numPr>
      </w:pPr>
      <w:r>
        <w:t xml:space="preserve">Kasem, M. S. Advancements and Challenges in Arabic Optical Character Recognition: A Comprehensive Survey [Электронный ресурс] / M. S. Kasem, M. Mahmoud, H.-S. Kang // arXiv.org. – 2023. – arXiv:2312.11812. – URL: https://arxiv.org/abs/2312.11812 (дата обращения: 27.06.2026).</w:t>
      </w:r>
    </w:p>
    <w:p>
      <w:pPr>
        <w:numPr>
          <w:ilvl w:val="0"/>
          <w:numId w:val="1010"/>
        </w:numPr>
      </w:pPr>
      <w:r>
        <w:t xml:space="preserve">Osman, H. An Efficient Language-Independent Multi-Font OCR for Arabic Script [Электронный ресурс] / H. Osman, K. Zaghw, M. Hazem, S. Elsehely // arXiv.org. – 2020. – arXiv:2009.09115. – URL: https://arxiv.org/abs/2009.09115 (дата обращения: 27.06.2026).</w:t>
      </w:r>
    </w:p>
    <w:p>
      <w:pPr>
        <w:numPr>
          <w:ilvl w:val="0"/>
          <w:numId w:val="1010"/>
        </w:numPr>
      </w:pPr>
      <w:r>
        <w:t xml:space="preserve">Kirmizialtin, S. Automated Transcription of Non-Latin Script Periodicals: A Case Study in the Ottoman Turkish Print Archive [Электронный ресурс] / S. Kirmizialtin, D. Wrisley // arXiv.org. – 2020. – arXiv:2011.01139. – URL: https://arxiv.org/abs/2011.01139 (дата обращения: 27.06.2026).</w:t>
      </w:r>
    </w:p>
    <w:p>
      <w:pPr>
        <w:numPr>
          <w:ilvl w:val="0"/>
          <w:numId w:val="1010"/>
        </w:numPr>
      </w:pPr>
      <w:r>
        <w:t xml:space="preserve">Özateş, Ş. B. Building Foundations for Natural Language Processing of Historical Turkish: Resources and Models [Электронный ресурс] / Ş. B. Özateş, T. E. Tıraş, E. E. Adak [et al.] // arXiv.org. – 2025. – arXiv:2501.04828. – URL: https://arxiv.org/abs/2501.04828 (дата обращения: 27.06.2026).</w:t>
      </w:r>
    </w:p>
    <w:p>
      <w:pPr>
        <w:numPr>
          <w:ilvl w:val="0"/>
          <w:numId w:val="1010"/>
        </w:numPr>
      </w:pPr>
      <w:r>
        <w:t xml:space="preserve">Lyu, L. Neural OCR Post-Hoc Correction of Historical Corpora [Электронный ресурс] / L. Lyu, M. Koutraki, M. Krickl, B. Fetahu // arXiv.org. – 2021. – arXiv:2102.00583. – URL: https://arxiv.org/abs/2102.00583 (дата обращения: 27.06.2026).</w:t>
      </w:r>
    </w:p>
    <w:p>
      <w:pPr>
        <w:numPr>
          <w:ilvl w:val="0"/>
          <w:numId w:val="1010"/>
        </w:numPr>
      </w:pPr>
      <w:r>
        <w:t xml:space="preserve">Rijhwani, S. Lexically Aware Semi-Supervised Learning for OCR Post-Correction [Электронный ресурс] / S. Rijhwani, D. Rosenblum, A. Anastasopoulos, G. Neubig // arXiv.org. – 2021. – arXiv:2111.02622. – URL: https://arxiv.org/abs/2111.02622 (дата обращения: 27.06.2026).</w:t>
      </w:r>
    </w:p>
    <w:p>
      <w:pPr>
        <w:numPr>
          <w:ilvl w:val="0"/>
          <w:numId w:val="1010"/>
        </w:numPr>
      </w:pPr>
      <w:r>
        <w:t xml:space="preserve">Naiman, J. P. Large Synthetic Data from the arXiv for OCR Post Correction of Historic Scientific Articles [Электронный ресурс] / J. P. Naiman, M. G. Cosillo, P. K. G. Williams, A. Goodman // arXiv.org. – 2023. – arXiv:2309.11549. – URL: https://arxiv.org/abs/2309.11549 (дата обращения: 27.06.2026).</w:t>
      </w:r>
    </w:p>
    <w:p>
      <w:pPr>
        <w:numPr>
          <w:ilvl w:val="0"/>
          <w:numId w:val="1010"/>
        </w:numPr>
      </w:pPr>
      <w:r>
        <w:t xml:space="preserve">Guan, S. Advancing Post-OCR Correction: A Comparative Study of Synthetic Data [Электронный ресурс] / S. Guan, D. Greene // arXiv.org. – 2024. – arXiv:2408.02253. – URL: https://arxiv.org/abs/2408.02253 (дата обращения: 27.06.2026).</w:t>
      </w:r>
    </w:p>
    <w:p>
      <w:pPr>
        <w:numPr>
          <w:ilvl w:val="0"/>
          <w:numId w:val="1010"/>
        </w:numPr>
      </w:pPr>
      <w:r>
        <w:t xml:space="preserve">Kashid, H. RoundTripOCR: A Data Generation Technique for Enhancing Post-OCR Error Correction in Low-Resource Devanagari Languages [Электронный ресурс] / H. Kashid, P. Bhattacharyya // arXiv.org. – 2024. – arXiv:2412.15248. – URL: https://arxiv.org/abs/2412.15248 (дата обращения: 27.06.2026).</w:t>
      </w:r>
    </w:p>
    <w:p>
      <w:pPr>
        <w:numPr>
          <w:ilvl w:val="0"/>
          <w:numId w:val="1010"/>
        </w:numPr>
      </w:pPr>
      <w:r>
        <w:t xml:space="preserve">Li, M. TrOCR: Transformer-based Optical Character Recognition with Pre-trained Models [Электронный ресурс] / M. Li, T. Lv, J. Chen [et al.] // arXiv.org. – 2021. – arXiv:2109.10282. – URL: https://arxiv.org/abs/2109.10282 (дата обращения: 27.06.2026).</w:t>
      </w:r>
    </w:p>
    <w:bookmarkEnd w:id="895"/>
    <w:sectPr>
      <w:footerReference r:id="rId1" w:type="default"/>
      <w:footnotePr>
        <w:numRestart w:val="eachSect"/>
      </w:footnotePr>
      <w:pgSz w:h="16838" w:w="11906"/>
      <w:pgMar w:bottom="1134" w:left="1417"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
      <w:rPr>
        <w:rFonts w:ascii="Times New Roman" w:hAnsi="Times New Roman" w:eastAsia="Times New Roman" w:cs="Times New Roman"/>
        <w:sz w:val="28"/>
      </w:rPr>
    </w:r>
    <w:r>
      <w:rPr>
        <w:rFonts w:ascii="Times New Roman" w:hAnsi="Times New Roman" w:eastAsia="Times New Roman" w:cs="Times New Roman"/>
        <w:sz w:val="28"/>
      </w:rPr>
    </w:r>
    <w:r>
      <w:rPr>
        <w:rFonts w:ascii="Times New Roman" w:hAnsi="Times New Roman" w:eastAsia="Times New Roman" w:cs="Times New Roman"/>
        <w:sz w:val="28"/>
      </w:rPr>
    </w:r>
    <w:r>
      <w:rPr>
        <w:rFonts w:ascii="Times New Roman" w:hAnsi="Times New Roman" w:eastAsia="Times New Roman" w:cs="Times New Roman"/>
        <w:sz w:val="28"/>
      </w:rPr>
    </w:r>
    <w:r>
      <w:rPr>
        <w:rFonts w:ascii="Times New Roman" w:hAnsi="Times New Roman" w:eastAsia="Times New Roman" w:cs="Times New Roman"/>
        <w:sz w:val="2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ind w:firstLine="567"/>
      <w:jc w:val="both"/>
    </w:pPr>
    <w:rPr>
      <w:rFonts w:ascii="Times New Roman" w:cs="Times New Roman" w:eastAsia="Times New Roman" w:hAnsi="Times New Roman"/>
      <w:sz w:val="28"/>
    </w:rPr>
  </w:style>
  <w:style w:styleId="BodyText" w:type="paragraph">
    <w:name w:val="Body Text"/>
    <w:basedOn w:val="Normal"/>
    <w:link w:val="BodyTextChar"/>
    <w:qFormat/>
    <w:pPr>
      <w:spacing w:after="120" w:before="0" w:line="312" w:lineRule="auto"/>
      <w:ind w:firstLine="567"/>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spacing w:after="120" w:before="0" w:line="312" w:lineRule="auto"/>
      <w:ind w:firstLine="567"/>
      <w:jc w:val="both"/>
    </w:pPr>
    <w:rPr>
      <w:rFonts w:ascii="Times New Roman" w:cs="Times New Roman" w:eastAsia="Times New Roman" w:hAnsi="Times New Roman"/>
      <w:sz w:val="28"/>
    </w:rPr>
  </w:style>
  <w:style w:customStyle="1" w:styleId="Compact" w:type="paragraph">
    <w:name w:val="Compact"/>
    <w:basedOn w:val="BodyText"/>
    <w:qFormat/>
    <w:pPr>
      <w:spacing w:after="120" w:before="0" w:line="312" w:lineRule="auto"/>
      <w:ind w:firstLine="567"/>
      <w:jc w:val="both"/>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120" w:before="160" w:line="312" w:lineRule="auto"/>
      <w:ind w:firstLine="0"/>
      <w:contextualSpacing/>
      <w:jc w:val="left"/>
    </w:pPr>
    <w:rPr>
      <w:rFonts w:ascii="Times New Roman" w:cs="Times New Roman" w:eastAsia="Times New Roman" w:hAnsi="Times New Roman"/>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28"/>
      <w:szCs w:val="56"/>
    </w:rPr>
  </w:style>
  <w:style w:styleId="Subtitle" w:type="paragraph">
    <w:name w:val="Subtitle"/>
    <w:basedOn w:val="Title"/>
    <w:next w:val="BodyText"/>
    <w:link w:val="SubtitleChar"/>
    <w:uiPriority w:val="11"/>
    <w:qFormat/>
    <w:rsid w:val="00A10FD9"/>
    <w:pPr>
      <w:numPr>
        <w:ilvl w:val="1"/>
      </w:numPr>
      <w:spacing w:after="120" w:before="160" w:line="312" w:lineRule="auto"/>
      <w:ind w:firstLine="0"/>
      <w:jc w:val="left"/>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8"/>
      <w:szCs w:val="24"/>
    </w:rPr>
  </w:style>
  <w:style w:styleId="Date" w:type="paragraph">
    <w:name w:val="Date"/>
    <w:basedOn w:val="Title"/>
    <w:next w:val="BodyText"/>
    <w:qFormat/>
    <w:pPr>
      <w:keepNext/>
      <w:keepLines/>
    </w:pPr>
    <w:rPr>
      <w:rFonts w:ascii="Times New Roman" w:cs="Times New Roman" w:eastAsia="Times New Roman" w:hAnsi="Times New Roman"/>
      <w:sz w:val="28"/>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8"/>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8"/>
      <w:szCs w:val="20"/>
    </w:rPr>
  </w:style>
  <w:style w:styleId="Bibliography" w:type="paragraph">
    <w:name w:val="Bibliography"/>
    <w:basedOn w:val="Normal"/>
    <w:next w:val="Bibliography"/>
    <w:qFormat/>
    <w:pPr/>
    <w:rPr>
      <w:rFonts w:ascii="Times New Roman" w:cs="Times New Roman" w:eastAsia="Times New Roman" w:hAnsi="Times New Roman"/>
      <w:sz w:val="28"/>
    </w:rPr>
  </w:style>
  <w:style w:styleId="Heading1" w:type="paragraph">
    <w:name w:val="heading 1"/>
    <w:basedOn w:val="Normal"/>
    <w:next w:val="BodyText"/>
    <w:link w:val="Heading1Char"/>
    <w:uiPriority w:val="9"/>
    <w:qFormat/>
    <w:rsid w:val="00A10FD9"/>
    <w:pPr>
      <w:keepNext/>
      <w:keepLines/>
      <w:spacing w:after="120" w:before="160" w:line="312" w:lineRule="auto"/>
      <w:ind w:firstLine="0"/>
      <w:jc w:val="left"/>
      <w:outlineLvl w:val="0"/>
    </w:pPr>
    <w:rPr>
      <w:rFonts w:ascii="Times New Roman" w:cs="Times New Roman" w:eastAsia="Times New Roman" w:hAnsi="Times New Roman"/>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312" w:lineRule="auto"/>
      <w:ind w:firstLine="0"/>
      <w:jc w:val="left"/>
      <w:outlineLvl w:val="1"/>
    </w:pPr>
    <w:rPr>
      <w:rFonts w:ascii="Times New Roman" w:cs="Times New Roman" w:eastAsia="Times New Roman" w:hAnsi="Times New Roman"/>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312" w:lineRule="auto"/>
      <w:ind w:firstLine="0"/>
      <w:jc w:val="left"/>
      <w:outlineLvl w:val="2"/>
    </w:pPr>
    <w:rPr>
      <w:rFonts w:ascii="Times New Roman" w:cs="Times New Roman" w:eastAsia="Times New Roman" w:hAnsi="Times New Roman"/>
      <w:sz w:val="28"/>
      <w:szCs w:val="28"/>
    </w:rPr>
  </w:style>
  <w:style w:styleId="Heading4" w:type="paragraph">
    <w:name w:val="heading 4"/>
    <w:basedOn w:val="Normal"/>
    <w:next w:val="BodyText"/>
    <w:link w:val="Heading4Char"/>
    <w:uiPriority w:val="9"/>
    <w:semiHidden/>
    <w:unhideWhenUsed/>
    <w:qFormat/>
    <w:rsid w:val="00A10FD9"/>
    <w:pPr>
      <w:keepNext/>
      <w:keepLines/>
      <w:spacing w:after="120" w:before="160" w:line="312" w:lineRule="auto"/>
      <w:ind w:firstLine="0"/>
      <w:jc w:val="left"/>
      <w:outlineLvl w:val="3"/>
    </w:pPr>
    <w:rPr>
      <w:rFonts w:ascii="Times New Roman" w:cs="Times New Roman" w:eastAsia="Times New Roman" w:hAnsi="Times New Roman"/>
      <w:i/>
      <w:iCs/>
      <w:sz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sz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sz w:val="28"/>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sz w:val="28"/>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sz w:val="28"/>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28"/>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28"/>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sz w:val="28"/>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sz w:val="28"/>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sz w:val="28"/>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sz w:val="28"/>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sz w:val="28"/>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sz w:val="28"/>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8"/>
    </w:rPr>
  </w:style>
  <w:style w:styleId="FootnoteText" w:type="paragraph">
    <w:name w:val="Footnote Text"/>
    <w:basedOn w:val="Normal"/>
    <w:next w:val="FootnoteText"/>
    <w:uiPriority w:val="9"/>
    <w:unhideWhenUsed/>
    <w:qFormat/>
    <w:rPr>
      <w:rFonts w:ascii="Times New Roman" w:cs="Times New Roman" w:eastAsia="Times New Roman" w:hAnsi="Times New Roman"/>
      <w:sz w:val="28"/>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sz w:val="28"/>
    </w:rPr>
  </w:style>
  <w:style w:default="1" w:styleId="DefaultParagraphFont" w:type="character">
    <w:name w:val="Default Paragraph Font"/>
    <w:semiHidden/>
    <w:unhideWhenUsed/>
    <w:rPr>
      <w:rFonts w:ascii="Times New Roman" w:cs="Times New Roman" w:eastAsia="Times New Roman" w:hAnsi="Times New Roman"/>
      <w:sz w:val="28"/>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sz w:val="28"/>
    </w:rPr>
  </w:style>
  <w:style w:customStyle="1" w:styleId="Definition" w:type="paragraph">
    <w:name w:val="Definition"/>
    <w:basedOn w:val="Normal"/>
    <w:rPr>
      <w:rFonts w:ascii="Times New Roman" w:cs="Times New Roman" w:eastAsia="Times New Roman" w:hAnsi="Times New Roman"/>
      <w:sz w:val="28"/>
    </w:rPr>
  </w:style>
  <w:style w:styleId="Caption" w:type="paragraph">
    <w:name w:val="Caption"/>
    <w:basedOn w:val="Normal"/>
    <w:link w:val="BodyTextChar"/>
    <w:pPr>
      <w:spacing w:after="120" w:before="0"/>
    </w:pPr>
    <w:rPr>
      <w:rFonts w:ascii="Times New Roman" w:cs="Times New Roman" w:eastAsia="Times New Roman" w:hAnsi="Times New Roman"/>
      <w:i/>
      <w:sz w:val="28"/>
    </w:rPr>
  </w:style>
  <w:style w:customStyle="1" w:styleId="TableCaption" w:type="paragraph">
    <w:name w:val="Table Caption"/>
    <w:basedOn w:val="Caption"/>
    <w:pPr>
      <w:keepNext/>
    </w:pPr>
    <w:rPr>
      <w:rFonts w:ascii="Times New Roman" w:cs="Times New Roman" w:eastAsia="Times New Roman" w:hAnsi="Times New Roman"/>
      <w:sz w:val="28"/>
    </w:rPr>
  </w:style>
  <w:style w:customStyle="1" w:styleId="ImageCaption" w:type="paragraph">
    <w:name w:val="Image Caption"/>
    <w:basedOn w:val="Caption"/>
    <w:rPr>
      <w:rFonts w:ascii="Times New Roman" w:cs="Times New Roman" w:eastAsia="Times New Roman" w:hAnsi="Times New Roman"/>
      <w:sz w:val="28"/>
    </w:rPr>
  </w:style>
  <w:style w:customStyle="1" w:styleId="Figure" w:type="paragraph">
    <w:name w:val="Figure"/>
    <w:basedOn w:val="Normal"/>
    <w:rPr>
      <w:rFonts w:ascii="Times New Roman" w:cs="Times New Roman" w:eastAsia="Times New Roman" w:hAnsi="Times New Roman"/>
      <w:sz w:val="28"/>
    </w:rPr>
  </w:style>
  <w:style w:customStyle="1" w:styleId="CaptionedFigure" w:type="paragraph">
    <w:name w:val="Captioned Figure"/>
    <w:basedOn w:val="Figure"/>
    <w:pPr>
      <w:keepNext/>
    </w:pPr>
    <w:rPr>
      <w:rFonts w:ascii="Times New Roman" w:cs="Times New Roman" w:eastAsia="Times New Roman" w:hAnsi="Times New Roman"/>
      <w:sz w:val="28"/>
    </w:rPr>
  </w:style>
  <w:style w:customStyle="1" w:styleId="BodyTextChar" w:type="character">
    <w:name w:val="Body Text Char"/>
    <w:basedOn w:val="DefaultParagraphFont"/>
    <w:link w:val="BodyText"/>
    <w:rPr>
      <w:rFonts w:ascii="Times New Roman" w:cs="Times New Roman" w:eastAsia="Times New Roman" w:hAnsi="Times New Roman"/>
      <w:sz w:val="28"/>
    </w:rPr>
  </w:style>
  <w:style w:customStyle="1" w:styleId="VerbatimChar" w:type="character">
    <w:name w:val="Verbatim Char"/>
    <w:basedOn w:val="BodyTextChar"/>
    <w:rPr>
      <w:rFonts w:ascii="Times New Roman" w:cs="Times New Roman" w:eastAsia="Times New Roman" w:hAnsi="Times New Roman"/>
      <w:sz w:val="28"/>
    </w:rPr>
  </w:style>
  <w:style w:customStyle="1" w:styleId="SectionNumber" w:type="character">
    <w:name w:val="Section Number"/>
    <w:basedOn w:val="BodyTextChar"/>
    <w:rPr>
      <w:rFonts w:ascii="Times New Roman" w:cs="Times New Roman" w:eastAsia="Times New Roman" w:hAnsi="Times New Roman"/>
      <w:sz w:val="28"/>
    </w:rPr>
  </w:style>
  <w:style w:styleId="FootnoteReference" w:type="character">
    <w:name w:val="Footnote Reference"/>
    <w:basedOn w:val="BodyTextChar"/>
    <w:rPr>
      <w:rFonts w:ascii="Times New Roman" w:cs="Times New Roman" w:eastAsia="Times New Roman" w:hAnsi="Times New Roman"/>
      <w:sz w:val="28"/>
      <w:vertAlign w:val="superscript"/>
    </w:rPr>
  </w:style>
  <w:style w:styleId="Hyperlink" w:type="character">
    <w:name w:val="Hyperlink"/>
    <w:basedOn w:val="BodyTextChar"/>
    <w:rPr>
      <w:rFonts w:ascii="Times New Roman" w:cs="Times New Roman" w:eastAsia="Times New Roman" w:hAnsi="Times New Roman"/>
      <w:color w:val="000000"/>
      <w:sz w:val="28"/>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8"/>
    </w:rPr>
  </w:style>
  <w:style w:customStyle="1" w:styleId="SourceCode" w:type="paragraph">
    <w:name w:val="Source Code"/>
    <w:basedOn w:val="Normal"/>
    <w:link w:val="VerbatimChar"/>
    <w:pPr>
      <w:wordWrap w:val="off"/>
    </w:pPr>
    <w:rPr>
      <w:rFonts w:ascii="Times New Roman" w:cs="Times New Roman" w:eastAsia="Times New Roman" w:hAnsi="Times New Roman"/>
      <w:sz w:val="28"/>
    </w:rPr>
  </w:style>
  <w:style w:customStyle="1" w:styleId="KeywordTok" w:type="character">
    <w:name w:val="KeywordTok"/>
    <w:basedOn w:val="VerbatimChar"/>
    <w:rPr>
      <w:rFonts w:ascii="Times New Roman" w:cs="Times New Roman" w:eastAsia="Times New Roman" w:hAnsi="Times New Roman"/>
      <w:b/>
      <w:color w:val="000000"/>
      <w:sz w:val="28"/>
    </w:rPr>
  </w:style>
  <w:style w:customStyle="1" w:styleId="DataTypeTok" w:type="character">
    <w:name w:val="DataTypeTok"/>
    <w:basedOn w:val="VerbatimChar"/>
    <w:rPr>
      <w:rFonts w:ascii="Times New Roman" w:cs="Times New Roman" w:eastAsia="Times New Roman" w:hAnsi="Times New Roman"/>
      <w:color w:val="000000"/>
      <w:sz w:val="28"/>
    </w:rPr>
  </w:style>
  <w:style w:customStyle="1" w:styleId="DecValTok" w:type="character">
    <w:name w:val="DecValTok"/>
    <w:basedOn w:val="VerbatimChar"/>
    <w:rPr>
      <w:rFonts w:ascii="Times New Roman" w:cs="Times New Roman" w:eastAsia="Times New Roman" w:hAnsi="Times New Roman"/>
      <w:color w:val="000000"/>
      <w:sz w:val="28"/>
    </w:rPr>
  </w:style>
  <w:style w:customStyle="1" w:styleId="BaseNTok" w:type="character">
    <w:name w:val="BaseNTok"/>
    <w:basedOn w:val="VerbatimChar"/>
    <w:rPr>
      <w:rFonts w:ascii="Times New Roman" w:cs="Times New Roman" w:eastAsia="Times New Roman" w:hAnsi="Times New Roman"/>
      <w:color w:val="000000"/>
      <w:sz w:val="28"/>
    </w:rPr>
  </w:style>
  <w:style w:customStyle="1" w:styleId="FloatTok" w:type="character">
    <w:name w:val="FloatTok"/>
    <w:basedOn w:val="VerbatimChar"/>
    <w:rPr>
      <w:rFonts w:ascii="Times New Roman" w:cs="Times New Roman" w:eastAsia="Times New Roman" w:hAnsi="Times New Roman"/>
      <w:color w:val="000000"/>
      <w:sz w:val="28"/>
    </w:rPr>
  </w:style>
  <w:style w:customStyle="1" w:styleId="ConstantTok" w:type="character">
    <w:name w:val="ConstantTok"/>
    <w:basedOn w:val="VerbatimChar"/>
    <w:rPr>
      <w:rFonts w:ascii="Times New Roman" w:cs="Times New Roman" w:eastAsia="Times New Roman" w:hAnsi="Times New Roman"/>
      <w:color w:val="000000"/>
      <w:sz w:val="28"/>
    </w:rPr>
  </w:style>
  <w:style w:customStyle="1" w:styleId="CharTok" w:type="character">
    <w:name w:val="CharTok"/>
    <w:basedOn w:val="VerbatimChar"/>
    <w:rPr>
      <w:rFonts w:ascii="Times New Roman" w:cs="Times New Roman" w:eastAsia="Times New Roman" w:hAnsi="Times New Roman"/>
      <w:color w:val="000000"/>
      <w:sz w:val="28"/>
    </w:rPr>
  </w:style>
  <w:style w:customStyle="1" w:styleId="SpecialCharTok" w:type="character">
    <w:name w:val="SpecialCharTok"/>
    <w:basedOn w:val="VerbatimChar"/>
    <w:rPr>
      <w:rFonts w:ascii="Times New Roman" w:cs="Times New Roman" w:eastAsia="Times New Roman" w:hAnsi="Times New Roman"/>
      <w:color w:val="000000"/>
      <w:sz w:val="28"/>
    </w:rPr>
  </w:style>
  <w:style w:customStyle="1" w:styleId="StringTok" w:type="character">
    <w:name w:val="StringTok"/>
    <w:basedOn w:val="VerbatimChar"/>
    <w:rPr>
      <w:rFonts w:ascii="Times New Roman" w:cs="Times New Roman" w:eastAsia="Times New Roman" w:hAnsi="Times New Roman"/>
      <w:color w:val="000000"/>
      <w:sz w:val="28"/>
    </w:rPr>
  </w:style>
  <w:style w:customStyle="1" w:styleId="VerbatimStringTok" w:type="character">
    <w:name w:val="VerbatimStringTok"/>
    <w:basedOn w:val="VerbatimChar"/>
    <w:rPr>
      <w:rFonts w:ascii="Times New Roman" w:cs="Times New Roman" w:eastAsia="Times New Roman" w:hAnsi="Times New Roman"/>
      <w:color w:val="000000"/>
      <w:sz w:val="28"/>
    </w:rPr>
  </w:style>
  <w:style w:customStyle="1" w:styleId="SpecialStringTok" w:type="character">
    <w:name w:val="SpecialStringTok"/>
    <w:basedOn w:val="VerbatimChar"/>
    <w:rPr>
      <w:rFonts w:ascii="Times New Roman" w:cs="Times New Roman" w:eastAsia="Times New Roman" w:hAnsi="Times New Roman"/>
      <w:color w:val="000000"/>
      <w:sz w:val="28"/>
    </w:rPr>
  </w:style>
  <w:style w:customStyle="1" w:styleId="ImportTok" w:type="character">
    <w:name w:val="ImportTok"/>
    <w:basedOn w:val="VerbatimChar"/>
    <w:rPr>
      <w:rFonts w:ascii="Times New Roman" w:cs="Times New Roman" w:eastAsia="Times New Roman" w:hAnsi="Times New Roman"/>
      <w:b/>
      <w:color w:val="000000"/>
      <w:sz w:val="28"/>
    </w:rPr>
  </w:style>
  <w:style w:customStyle="1" w:styleId="CommentTok" w:type="character">
    <w:name w:val="CommentTok"/>
    <w:basedOn w:val="VerbatimChar"/>
    <w:rPr>
      <w:rFonts w:ascii="Times New Roman" w:cs="Times New Roman" w:eastAsia="Times New Roman" w:hAnsi="Times New Roman"/>
      <w:i/>
      <w:color w:val="000000"/>
      <w:sz w:val="28"/>
    </w:rPr>
  </w:style>
  <w:style w:customStyle="1" w:styleId="DocumentationTok" w:type="character">
    <w:name w:val="DocumentationTok"/>
    <w:basedOn w:val="VerbatimChar"/>
    <w:rPr>
      <w:rFonts w:ascii="Times New Roman" w:cs="Times New Roman" w:eastAsia="Times New Roman" w:hAnsi="Times New Roman"/>
      <w:i/>
      <w:color w:val="000000"/>
      <w:sz w:val="28"/>
    </w:rPr>
  </w:style>
  <w:style w:customStyle="1" w:styleId="AnnotationTok" w:type="character">
    <w:name w:val="AnnotationTok"/>
    <w:basedOn w:val="VerbatimChar"/>
    <w:rPr>
      <w:rFonts w:ascii="Times New Roman" w:cs="Times New Roman" w:eastAsia="Times New Roman" w:hAnsi="Times New Roman"/>
      <w:b/>
      <w:i/>
      <w:color w:val="000000"/>
      <w:sz w:val="28"/>
    </w:rPr>
  </w:style>
  <w:style w:customStyle="1" w:styleId="CommentVarTok" w:type="character">
    <w:name w:val="CommentVarTok"/>
    <w:basedOn w:val="VerbatimChar"/>
    <w:rPr>
      <w:rFonts w:ascii="Times New Roman" w:cs="Times New Roman" w:eastAsia="Times New Roman" w:hAnsi="Times New Roman"/>
      <w:b/>
      <w:i/>
      <w:color w:val="000000"/>
      <w:sz w:val="28"/>
    </w:rPr>
  </w:style>
  <w:style w:customStyle="1" w:styleId="OtherTok" w:type="character">
    <w:name w:val="OtherTok"/>
    <w:basedOn w:val="VerbatimChar"/>
    <w:rPr>
      <w:rFonts w:ascii="Times New Roman" w:cs="Times New Roman" w:eastAsia="Times New Roman" w:hAnsi="Times New Roman"/>
      <w:color w:val="000000"/>
      <w:sz w:val="28"/>
    </w:rPr>
  </w:style>
  <w:style w:customStyle="1" w:styleId="FunctionTok" w:type="character">
    <w:name w:val="FunctionTok"/>
    <w:basedOn w:val="VerbatimChar"/>
    <w:rPr>
      <w:rFonts w:ascii="Times New Roman" w:cs="Times New Roman" w:eastAsia="Times New Roman" w:hAnsi="Times New Roman"/>
      <w:color w:val="000000"/>
      <w:sz w:val="28"/>
    </w:rPr>
  </w:style>
  <w:style w:customStyle="1" w:styleId="VariableTok" w:type="character">
    <w:name w:val="VariableTok"/>
    <w:basedOn w:val="VerbatimChar"/>
    <w:rPr>
      <w:rFonts w:ascii="Times New Roman" w:cs="Times New Roman" w:eastAsia="Times New Roman" w:hAnsi="Times New Roman"/>
      <w:color w:val="000000"/>
      <w:sz w:val="28"/>
    </w:rPr>
  </w:style>
  <w:style w:customStyle="1" w:styleId="ControlFlowTok" w:type="character">
    <w:name w:val="ControlFlowTok"/>
    <w:basedOn w:val="VerbatimChar"/>
    <w:rPr>
      <w:rFonts w:ascii="Times New Roman" w:cs="Times New Roman" w:eastAsia="Times New Roman" w:hAnsi="Times New Roman"/>
      <w:b/>
      <w:color w:val="000000"/>
      <w:sz w:val="28"/>
    </w:rPr>
  </w:style>
  <w:style w:customStyle="1" w:styleId="OperatorTok" w:type="character">
    <w:name w:val="OperatorTok"/>
    <w:basedOn w:val="VerbatimChar"/>
    <w:rPr>
      <w:rFonts w:ascii="Times New Roman" w:cs="Times New Roman" w:eastAsia="Times New Roman" w:hAnsi="Times New Roman"/>
      <w:color w:val="000000"/>
      <w:sz w:val="28"/>
    </w:rPr>
  </w:style>
  <w:style w:customStyle="1" w:styleId="BuiltInTok" w:type="character">
    <w:name w:val="BuiltInTok"/>
    <w:basedOn w:val="VerbatimChar"/>
    <w:rPr>
      <w:rFonts w:ascii="Times New Roman" w:cs="Times New Roman" w:eastAsia="Times New Roman" w:hAnsi="Times New Roman"/>
      <w:color w:val="000000"/>
      <w:sz w:val="28"/>
    </w:rPr>
  </w:style>
  <w:style w:customStyle="1" w:styleId="ExtensionTok" w:type="character">
    <w:name w:val="ExtensionTok"/>
    <w:basedOn w:val="VerbatimChar"/>
    <w:rPr>
      <w:rFonts w:ascii="Times New Roman" w:cs="Times New Roman" w:eastAsia="Times New Roman" w:hAnsi="Times New Roman"/>
      <w:sz w:val="28"/>
    </w:rPr>
  </w:style>
  <w:style w:customStyle="1" w:styleId="PreprocessorTok" w:type="character">
    <w:name w:val="PreprocessorTok"/>
    <w:basedOn w:val="VerbatimChar"/>
    <w:rPr>
      <w:rFonts w:ascii="Times New Roman" w:cs="Times New Roman" w:eastAsia="Times New Roman" w:hAnsi="Times New Roman"/>
      <w:color w:val="000000"/>
      <w:sz w:val="28"/>
    </w:rPr>
  </w:style>
  <w:style w:customStyle="1" w:styleId="AttributeTok" w:type="character">
    <w:name w:val="AttributeTok"/>
    <w:basedOn w:val="VerbatimChar"/>
    <w:rPr>
      <w:rFonts w:ascii="Times New Roman" w:cs="Times New Roman" w:eastAsia="Times New Roman" w:hAnsi="Times New Roman"/>
      <w:color w:val="000000"/>
      <w:sz w:val="28"/>
    </w:rPr>
  </w:style>
  <w:style w:customStyle="1" w:styleId="RegionMarkerTok" w:type="character">
    <w:name w:val="RegionMarkerTok"/>
    <w:basedOn w:val="VerbatimChar"/>
    <w:rPr>
      <w:rFonts w:ascii="Times New Roman" w:cs="Times New Roman" w:eastAsia="Times New Roman" w:hAnsi="Times New Roman"/>
      <w:sz w:val="28"/>
    </w:rPr>
  </w:style>
  <w:style w:customStyle="1" w:styleId="InformationTok" w:type="character">
    <w:name w:val="InformationTok"/>
    <w:basedOn w:val="VerbatimChar"/>
    <w:rPr>
      <w:rFonts w:ascii="Times New Roman" w:cs="Times New Roman" w:eastAsia="Times New Roman" w:hAnsi="Times New Roman"/>
      <w:b/>
      <w:i/>
      <w:color w:val="000000"/>
      <w:sz w:val="28"/>
    </w:rPr>
  </w:style>
  <w:style w:customStyle="1" w:styleId="WarningTok" w:type="character">
    <w:name w:val="WarningTok"/>
    <w:basedOn w:val="VerbatimChar"/>
    <w:rPr>
      <w:rFonts w:ascii="Times New Roman" w:cs="Times New Roman" w:eastAsia="Times New Roman" w:hAnsi="Times New Roman"/>
      <w:b/>
      <w:i/>
      <w:color w:val="000000"/>
      <w:sz w:val="28"/>
    </w:rPr>
  </w:style>
  <w:style w:customStyle="1" w:styleId="AlertTok" w:type="character">
    <w:name w:val="AlertTok"/>
    <w:basedOn w:val="VerbatimChar"/>
    <w:rPr>
      <w:rFonts w:ascii="Times New Roman" w:cs="Times New Roman" w:eastAsia="Times New Roman" w:hAnsi="Times New Roman"/>
      <w:b/>
      <w:color w:val="000000"/>
      <w:sz w:val="28"/>
    </w:rPr>
  </w:style>
  <w:style w:customStyle="1" w:styleId="ErrorTok" w:type="character">
    <w:name w:val="ErrorTok"/>
    <w:basedOn w:val="VerbatimChar"/>
    <w:rPr>
      <w:rFonts w:ascii="Times New Roman" w:cs="Times New Roman" w:eastAsia="Times New Roman" w:hAnsi="Times New Roman"/>
      <w:b/>
      <w:color w:val="000000"/>
      <w:sz w:val="28"/>
    </w:rPr>
  </w:style>
  <w:style w:customStyle="1" w:styleId="NormalTok" w:type="character">
    <w:name w:val="NormalTok"/>
    <w:basedOn w:val="VerbatimChar"/>
    <w:rPr>
      <w:rFonts w:ascii="Times New Roman" w:cs="Times New Roman" w:eastAsia="Times New Roman" w:hAnsi="Times New Roman"/>
      <w:sz w:val="2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00" Target="numbering.xml" /><Relationship Type="http://schemas.openxmlformats.org/officeDocument/2006/relationships/styles" Id="rId799" Target="styles.xml" /><Relationship Type="http://schemas.openxmlformats.org/officeDocument/2006/relationships/settings" Id="rId798" Target="settings.xml" /><Relationship Type="http://schemas.openxmlformats.org/officeDocument/2006/relationships/webSettings" Id="rId797" Target="webSettings.xml" /><Relationship Type="http://schemas.openxmlformats.org/officeDocument/2006/relationships/fontTable" Id="rId796" Target="fontTable.xml" /><Relationship Type="http://schemas.openxmlformats.org/officeDocument/2006/relationships/theme" Id="rId795" Target="theme/theme1.xml" /><Relationship Type="http://schemas.openxmlformats.org/officeDocument/2006/relationships/footnotes" Id="rId794" Target="footnotes.xml" /><Relationship Type="http://schemas.openxmlformats.org/officeDocument/2006/relationships/comments" Id="rId793" Target="comments.xml" /><Relationship Id="rId45" Target="media/rId45.png" Type="http://schemas.openxmlformats.org/officeDocument/2006/relationships/image" /><Relationship Id="rId60" Target="media/rId60.png" Type="http://schemas.openxmlformats.org/officeDocument/2006/relationships/image" /><Relationship Id="rId34" Target="media/rId34.png" Type="http://schemas.openxmlformats.org/officeDocument/2006/relationships/image" /><Relationship Id="rId73" Target="media/rId73.png" Type="http://schemas.openxmlformats.org/officeDocument/2006/relationships/image" /><Relationship Id="rId77" Target="media/rId77.png" Type="http://schemas.openxmlformats.org/officeDocument/2006/relationships/image" /><Relationship Id="rId124" Target="media/rId124.png" Type="http://schemas.openxmlformats.org/officeDocument/2006/relationships/image" /><Relationship Id="rId139" Target="media/rId139.png" Type="http://schemas.openxmlformats.org/officeDocument/2006/relationships/image" /><Relationship Id="rId113" Target="media/rId113.png" Type="http://schemas.openxmlformats.org/officeDocument/2006/relationships/image" /><Relationship Id="rId152" Target="media/rId152.png" Type="http://schemas.openxmlformats.org/officeDocument/2006/relationships/image" /><Relationship Id="rId156" Target="media/rId156.png" Type="http://schemas.openxmlformats.org/officeDocument/2006/relationships/image" /><Relationship Id="rId1" Target="footer1.xml" Type="http://schemas.openxmlformats.org/officeDocument/2006/relationships/footer" /><Relationship Id="rId203" Target="media/rId203.png" Type="http://schemas.openxmlformats.org/officeDocument/2006/relationships/image" /><Relationship Id="rId218" Target="media/rId218.png" Type="http://schemas.openxmlformats.org/officeDocument/2006/relationships/image" /><Relationship Id="rId192" Target="media/rId192.png" Type="http://schemas.openxmlformats.org/officeDocument/2006/relationships/image" /><Relationship Id="rId231" Target="media/rId231.png" Type="http://schemas.openxmlformats.org/officeDocument/2006/relationships/image" /><Relationship Id="rId235" Target="media/rId235.png" Type="http://schemas.openxmlformats.org/officeDocument/2006/relationships/image" /><Relationship Id="rId282" Target="media/rId282.png" Type="http://schemas.openxmlformats.org/officeDocument/2006/relationships/image" /><Relationship Id="rId297" Target="media/rId297.png" Type="http://schemas.openxmlformats.org/officeDocument/2006/relationships/image" /><Relationship Id="rId271" Target="media/rId271.png" Type="http://schemas.openxmlformats.org/officeDocument/2006/relationships/image" /><Relationship Id="rId310" Target="media/rId310.png" Type="http://schemas.openxmlformats.org/officeDocument/2006/relationships/image" /><Relationship Id="rId314" Target="media/rId314.png" Type="http://schemas.openxmlformats.org/officeDocument/2006/relationships/image" /><Relationship Id="rId361" Target="media/rId361.png" Type="http://schemas.openxmlformats.org/officeDocument/2006/relationships/image" /><Relationship Id="rId376" Target="media/rId376.png" Type="http://schemas.openxmlformats.org/officeDocument/2006/relationships/image" /><Relationship Id="rId350" Target="media/rId350.png" Type="http://schemas.openxmlformats.org/officeDocument/2006/relationships/image" /><Relationship Id="rId389" Target="media/rId389.png" Type="http://schemas.openxmlformats.org/officeDocument/2006/relationships/image" /><Relationship Id="rId393" Target="media/rId393.png" Type="http://schemas.openxmlformats.org/officeDocument/2006/relationships/image" /><Relationship Id="rId440" Target="media/rId440.png" Type="http://schemas.openxmlformats.org/officeDocument/2006/relationships/image" /><Relationship Id="rId455" Target="media/rId455.png" Type="http://schemas.openxmlformats.org/officeDocument/2006/relationships/image" /><Relationship Id="rId429" Target="media/rId429.png" Type="http://schemas.openxmlformats.org/officeDocument/2006/relationships/image" /><Relationship Id="rId468" Target="media/rId468.png" Type="http://schemas.openxmlformats.org/officeDocument/2006/relationships/image" /><Relationship Id="rId472" Target="media/rId472.png" Type="http://schemas.openxmlformats.org/officeDocument/2006/relationships/image" /><Relationship Id="rId519" Target="media/rId519.png" Type="http://schemas.openxmlformats.org/officeDocument/2006/relationships/image" /><Relationship Id="rId534" Target="media/rId534.png" Type="http://schemas.openxmlformats.org/officeDocument/2006/relationships/image" /><Relationship Id="rId508" Target="media/rId508.png" Type="http://schemas.openxmlformats.org/officeDocument/2006/relationships/image" /><Relationship Id="rId547" Target="media/rId547.png" Type="http://schemas.openxmlformats.org/officeDocument/2006/relationships/image" /><Relationship Id="rId551" Target="media/rId551.png" Type="http://schemas.openxmlformats.org/officeDocument/2006/relationships/image" /><Relationship Id="rId598" Target="media/rId598.png" Type="http://schemas.openxmlformats.org/officeDocument/2006/relationships/image" /><Relationship Id="rId613" Target="media/rId613.png" Type="http://schemas.openxmlformats.org/officeDocument/2006/relationships/image" /><Relationship Id="rId587" Target="media/rId587.png" Type="http://schemas.openxmlformats.org/officeDocument/2006/relationships/image" /><Relationship Id="rId626" Target="media/rId626.png" Type="http://schemas.openxmlformats.org/officeDocument/2006/relationships/image" /><Relationship Id="rId630" Target="media/rId630.png" Type="http://schemas.openxmlformats.org/officeDocument/2006/relationships/image" /><Relationship Id="rId677" Target="media/rId677.png" Type="http://schemas.openxmlformats.org/officeDocument/2006/relationships/image" /><Relationship Id="rId692" Target="media/rId692.png" Type="http://schemas.openxmlformats.org/officeDocument/2006/relationships/image" /><Relationship Id="rId666" Target="media/rId666.png" Type="http://schemas.openxmlformats.org/officeDocument/2006/relationships/image" /><Relationship Id="rId705" Target="media/rId705.png" Type="http://schemas.openxmlformats.org/officeDocument/2006/relationships/image" /><Relationship Id="rId709" Target="media/rId709.png" Type="http://schemas.openxmlformats.org/officeDocument/2006/relationships/image" /><Relationship Id="rId756" Target="media/rId756.png" Type="http://schemas.openxmlformats.org/officeDocument/2006/relationships/image" /><Relationship Id="rId771" Target="media/rId771.png" Type="http://schemas.openxmlformats.org/officeDocument/2006/relationships/image" /><Relationship Id="rId745" Target="media/rId745.png" Type="http://schemas.openxmlformats.org/officeDocument/2006/relationships/image" /><Relationship Id="rId784" Target="media/rId784.png" Type="http://schemas.openxmlformats.org/officeDocument/2006/relationships/image" /><Relationship Id="rId788" Target="media/rId788.png" Type="http://schemas.openxmlformats.org/officeDocument/2006/relationships/image" /><Relationship Id="rId792" Target="media/rId792.png" Type="http://schemas.openxmlformats.org/officeDocument/2006/relationships/image" /><Relationship Type="http://schemas.openxmlformats.org/officeDocument/2006/relationships/image" Id="rId839" Target="media/rId839.png" /><Relationship Type="http://schemas.openxmlformats.org/officeDocument/2006/relationships/image" Id="rId854" Target="media/rId854.png" /><Relationship Type="http://schemas.openxmlformats.org/officeDocument/2006/relationships/image" Id="rId828" Target="media/rId828.png" /><Relationship Type="http://schemas.openxmlformats.org/officeDocument/2006/relationships/image" Id="rId867" Target="media/rId867.png" /><Relationship Type="http://schemas.openxmlformats.org/officeDocument/2006/relationships/image" Id="rId871" Target="media/rId871.png" /><Relationship Type="http://schemas.openxmlformats.org/officeDocument/2006/relationships/image" Id="rId875" Target="media/rId875.png" /><Relationship Type="http://schemas.openxmlformats.org/officeDocument/2006/relationships/image" Id="rId887" Target="media/rId8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2026-06-27T16:50:40Z</dcterms:created>
  <dcterms:modified xsi:type="dcterms:W3CDTF">2026-06-27T16:50:40Z</dcterms:modified>
</cp:coreProperties>
</file>

<file path=docProps/custom.xml><?xml version="1.0" encoding="utf-8"?>
<Properties xmlns="http://schemas.openxmlformats.org/officeDocument/2006/custom-properties" xmlns:vt="http://schemas.openxmlformats.org/officeDocument/2006/docPropsVTypes"/>
</file>