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76"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Start w:id="9"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bookmarkEnd w:id="9"/>
    <w:bookmarkStart w:id="10"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10"/>
    <w:bookmarkStart w:id="11"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11"/>
    <w:bookmarkStart w:id="12"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12"/>
    <w:bookmarkStart w:id="13"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тюркских текстов в арабской графике.</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3"/>
    <w:bookmarkStart w:id="14"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14"/>
    <w:bookmarkStart w:id="15"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5"/>
    <w:bookmarkStart w:id="16"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16"/>
    <w:bookmarkStart w:id="17"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17"/>
    <w:bookmarkStart w:id="18"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18"/>
    <w:bookmarkStart w:id="26" w:name="X0ceba565ddc4689162e5800a39ee266fa2dc29a"/>
    <w:p>
      <w:pPr>
        <w:pStyle w:val="Heading2"/>
      </w:pPr>
      <w:r>
        <w:t xml:space="preserve">2. Обзор предметной области и связанных работ</w:t>
      </w:r>
    </w:p>
    <w:bookmarkStart w:id="19"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19"/>
    <w:bookmarkStart w:id="20"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20"/>
    <w:bookmarkStart w:id="21"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21"/>
    <w:bookmarkStart w:id="22"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22"/>
    <w:bookmarkStart w:id="23"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на парах реального OCR/HTR-вывода и вручную проверенного текста. Для низкоресурсных исторических материалов такие пары часто отсутствуют или существуют в малом объёме. Поэтому в первых экспериментах используют синтетические данные: эталонный текст намеренно искажается, чтобы получить пары «искажённый текст — эталон». Такой подход не заменяет реальную оценку, но даёт контролируемый первый уровень сравнения.</w:t>
      </w:r>
    </w:p>
    <w:p>
      <w:pPr>
        <w:pStyle w:val="BodyText"/>
      </w:pPr>
      <w:r>
        <w:t xml:space="preserve">Работы по коррекции OCR для исторических текстов на иврите показывают, что задачно-ориентированные искусственные данные могут быть полезны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синтетического эталона и OCR-вывода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синтетических данных имеет значение. Guan and Greene (2024) сравнивают объём данных, расширение данных и методы генерации синтетических данных для посткоррекции OCR; отдельно рассматриваются сходство глифов и низкоресурсная постановка. RoundTripOCR также показывает, что для низкоресурсной посткоррекции OCR можно строить синтетические параллельные данные и трактовать исправление OCR как преобразование искажённого текста в эталонный по аналогии с переводом (Kashid &amp; Bhattacharyya, 2024).</w:t>
      </w:r>
    </w:p>
    <w:p>
      <w:pPr>
        <w:pStyle w:val="BodyText"/>
      </w:pPr>
      <w:r>
        <w:t xml:space="preserve">Из этих работ следует главное методологическое требование: синтетические ошибки должны быть похожи не просто на OCR-ошибки вообще, а на ошибки конкретной системы, письма и качества скана. В этой работе синтетический набор нужен как первый экспериментальный стенд: на нём можно проверить код, разбиение, метрики и сравнение методов. Но постраничная проверка на Tesseract показывает границу такого стенда. Для следующего этапа важнее не только увеличить объём синтетики, но и строить шум по реальным OCR-ошибкам и сходству арабографичных графем.</w:t>
      </w:r>
    </w:p>
    <w:bookmarkEnd w:id="23"/>
    <w:bookmarkStart w:id="24"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24"/>
    <w:bookmarkStart w:id="25"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Из рассмотренных работ следуют четыре требования к эксперименту. Для исторического OCR нужен воспроизводимый процесс, эталонные данные и ручная проверка, а не только запуск модели распознавания. Для арабской графики важны собственные графические трудности и структура страницы. Посткоррекция OCR может быть сформулирована как преобразование ошибочного текста в эталонный. Синтетические данные полезны для низкоресурсных постановок, но требуют отдельной проверки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лучшего результата в области OCR исторических документов. Её вклад более узкий: воспроизводимый набор для посткоррекции тюркских текстов в арабской графике,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Методологически важен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Поэтому работа полезна как подготовительный этап для магистерского исследования. Следующий шаг должен включать проверенные пары «OCR-вывод — эталон», постраничное разбиение без утечки и обучение на настоящих OCR-ошибках.</w:t>
      </w:r>
    </w:p>
    <w:bookmarkEnd w:id="25"/>
    <w:bookmarkEnd w:id="26"/>
    <w:bookmarkStart w:id="40" w:name="данные-и-построение-корпуса"/>
    <w:p>
      <w:pPr>
        <w:pStyle w:val="Heading2"/>
      </w:pPr>
      <w:r>
        <w:t xml:space="preserve">3. Данные и построение корпуса</w:t>
      </w:r>
    </w:p>
    <w:bookmarkStart w:id="27"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7"/>
    <w:bookmarkStart w:id="28"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28"/>
    <w:bookmarkStart w:id="29"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29"/>
    <w:bookmarkStart w:id="30"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30"/>
    <w:bookmarkStart w:id="31"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1"/>
    <w:bookmarkStart w:id="32"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2"/>
    <w:bookmarkStart w:id="33" w:name="примеры-пар-искажённая-строка-эталон"/>
    <w:p>
      <w:pPr>
        <w:pStyle w:val="Heading3"/>
      </w:pPr>
      <w:r>
        <w:t xml:space="preserve">3.4.3 Примеры пар «искажённая строка — эталон»</w:t>
      </w:r>
    </w:p>
    <w:p>
      <w:pPr>
        <w:pStyle w:val="FirstParagraph"/>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3"/>
    <w:bookmarkStart w:id="34"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34"/>
    <w:bookmarkStart w:id="35"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5"/>
    <w:bookmarkStart w:id="36" w:name="Xd08570dcee77ed6951cf64ca8f19d56e666eec0"/>
    <w:p>
      <w:pPr>
        <w:pStyle w:val="Heading3"/>
      </w:pPr>
      <w:r>
        <w:t xml:space="preserve">3.6 Разбиение на обучающую, валидационную и тестовую выборки</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Выборка</w:t>
            </w:r>
          </w:p>
        </w:tc>
        <w:tc>
          <w:tcPr/>
          <w:p>
            <w:pPr>
              <w:pStyle w:val="Compact"/>
              <w:jc w:val="right"/>
            </w:pPr>
            <w:r>
              <w:t xml:space="preserve">Строки</w:t>
            </w:r>
          </w:p>
        </w:tc>
        <w:tc>
          <w:tcPr/>
          <w:p>
            <w:pPr>
              <w:pStyle w:val="Compact"/>
              <w:jc w:val="right"/>
            </w:pPr>
            <w:r>
              <w:t xml:space="preserve">Уникальные эталонные строки</w:t>
            </w:r>
          </w:p>
        </w:tc>
      </w:tr>
      <w:tr>
        <w:tc>
          <w:tcPr/>
          <w:p>
            <w:pPr>
              <w:pStyle w:val="Compact"/>
            </w:pPr>
            <w:r>
              <w:t xml:space="preserve">Обучающая</w:t>
            </w:r>
          </w:p>
        </w:tc>
        <w:tc>
          <w:tcPr/>
          <w:p>
            <w:pPr>
              <w:pStyle w:val="Compact"/>
              <w:jc w:val="right"/>
            </w:pPr>
            <w:r>
              <w:t xml:space="preserve">6400</w:t>
            </w:r>
          </w:p>
        </w:tc>
        <w:tc>
          <w:tcPr/>
          <w:p>
            <w:pPr>
              <w:pStyle w:val="Compact"/>
              <w:jc w:val="right"/>
            </w:pPr>
            <w:r>
              <w:t xml:space="preserve">320</w:t>
            </w:r>
          </w:p>
        </w:tc>
      </w:tr>
      <w:tr>
        <w:tc>
          <w:tcPr/>
          <w:p>
            <w:pPr>
              <w:pStyle w:val="Compact"/>
            </w:pPr>
            <w:r>
              <w:t xml:space="preserve">Валидационная</w:t>
            </w:r>
          </w:p>
        </w:tc>
        <w:tc>
          <w:tcPr/>
          <w:p>
            <w:pPr>
              <w:pStyle w:val="Compact"/>
              <w:jc w:val="right"/>
            </w:pPr>
            <w:r>
              <w:t xml:space="preserve">800</w:t>
            </w:r>
          </w:p>
        </w:tc>
        <w:tc>
          <w:tcPr/>
          <w:p>
            <w:pPr>
              <w:pStyle w:val="Compact"/>
              <w:jc w:val="right"/>
            </w:pPr>
            <w:r>
              <w:t xml:space="preserve">40</w:t>
            </w:r>
          </w:p>
        </w:tc>
      </w:tr>
      <w:tr>
        <w:tc>
          <w:tcPr/>
          <w:p>
            <w:pPr>
              <w:pStyle w:val="Compact"/>
            </w:pPr>
            <w:r>
              <w:t xml:space="preserve">Тестовая</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6"/>
    <w:bookmarkStart w:id="37"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7"/>
    <w:bookmarkStart w:id="38"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38"/>
    <w:bookmarkStart w:id="39" w:name="выводы-по-разделу"/>
    <w:p>
      <w:pPr>
        <w:pStyle w:val="Heading3"/>
      </w:pPr>
      <w:r>
        <w:t xml:space="preserve">3.9 Выводы по разделу</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39"/>
    <w:bookmarkEnd w:id="40"/>
    <w:bookmarkStart w:id="51" w:name="методология-эксперимента"/>
    <w:p>
      <w:pPr>
        <w:pStyle w:val="Heading2"/>
      </w:pPr>
      <w:r>
        <w:t xml:space="preserve">4. Методология эксперимента</w:t>
      </w:r>
    </w:p>
    <w:bookmarkStart w:id="41"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41"/>
    <w:bookmarkStart w:id="42" w:name="базовые-методы"/>
    <w:p>
      <w:pPr>
        <w:pStyle w:val="Heading3"/>
      </w:pPr>
      <w:r>
        <w:t xml:space="preserve">4.2 Базовые методы</w:t>
      </w:r>
    </w:p>
    <w:p>
      <w:pPr>
        <w:pStyle w:val="FirstParagraph"/>
      </w:pPr>
      <w:r>
        <w:t xml:space="preserve">В эксперименте используются три базовых метода. Первый — метод без исправления: он возвращает входную зашумлённую строку без изменений. Его роль состоит в том, чтобы зафиксировать исходный уровень качества данных. Любой метод посткоррекции должен превосходить этот уровень; иначе он не исправляет текст, а добавляет новые ошибки.</w:t>
      </w:r>
    </w:p>
    <w:p>
      <w:pPr>
        <w:pStyle w:val="BodyText"/>
      </w:pPr>
      <w:r>
        <w:t xml:space="preserve">Второй базовый метод — нормализатор на правилах. Он применяет набор простых символьных правил к арабографичному тексту. Этот метод нужен не как ожидаемо сильное решение,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нормализатор на правилах в работе не считается обязательной предобработкой, а оценивается как самостоятельный базовый метод.</w:t>
      </w:r>
    </w:p>
    <w:p>
      <w:pPr>
        <w:pStyle w:val="BodyText"/>
      </w:pPr>
      <w:r>
        <w:t xml:space="preserve">Третий базовый метод — символьный метод на основе ошибок обучающей выборки. Он строится по обучающим парам «искажённая строка — эталон»: строки выравниваются с помощью алгоритма Левенштейна, после чего оцениваются частотные соответствия между искажёнными и эталонными символами. Замена принимается только при достаточной поддержке и доминировании целевого символа. Такой метод опирается на данные, но не является нейросетевым: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2"/>
    <w:bookmarkStart w:id="43"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3"/>
    <w:bookmarkStart w:id="44"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4"/>
    <w:bookmarkStart w:id="45"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45"/>
    <w:bookmarkStart w:id="46"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6"/>
    <w:bookmarkStart w:id="47"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строк. Такой формат делает сравнение методов воспроизводимым: можно повторно проверить как агрегированные метрики, так и отдельные строки.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метод без исправления, нормализатор на правилах, символьный метод на основе ошибок обучающей выборки и ByT5-small. Это позволяет отделить эффект нейросетевой модели посткоррекции от простого сохранения зашумлённого ввода, ручных правил нормализации и простого символьного метода, построенного по данным.</w:t>
      </w:r>
    </w:p>
    <w:bookmarkEnd w:id="47"/>
    <w:bookmarkStart w:id="48"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посткоррекции,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8"/>
    <w:bookmarkStart w:id="49"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49"/>
    <w:bookmarkStart w:id="50"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50"/>
    <w:bookmarkEnd w:id="51"/>
    <w:bookmarkStart w:id="67" w:name="результаты-экспериментов-и-анализ-ошибок"/>
    <w:p>
      <w:pPr>
        <w:pStyle w:val="Heading2"/>
      </w:pPr>
      <w:r>
        <w:t xml:space="preserve">5. Результаты экспериментов и анализ ошибок</w:t>
      </w:r>
    </w:p>
    <w:bookmarkStart w:id="52"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2"/>
    <w:bookmarkStart w:id="53" w:name="итоговые-метрики"/>
    <w:p>
      <w:pPr>
        <w:pStyle w:val="Heading3"/>
      </w:pPr>
      <w:r>
        <w:t xml:space="preserve">5.2 Итоговые метрики</w:t>
      </w:r>
    </w:p>
    <w:p>
      <w:pPr>
        <w:pStyle w:val="FirstParagraph"/>
      </w:pPr>
      <w:r>
        <w:t xml:space="preserve">Итоговые результаты представлены в таблице. Для компактности</w:t>
      </w:r>
      <w:r>
        <w:t xml:space="preserve"> </w:t>
      </w:r>
      <w:r>
        <w:rPr>
          <w:rStyle w:val="VerbatimChar"/>
        </w:rPr>
        <w:t xml:space="preserve">EM</w:t>
      </w:r>
      <w:r>
        <w:t xml:space="preserve"> </w:t>
      </w:r>
      <w:r>
        <w:t xml:space="preserve">обозначает ExactMatch.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EM</w:t>
            </w:r>
          </w:p>
        </w:tc>
        <w:tc>
          <w:tcPr/>
          <w:p>
            <w:pPr>
              <w:pStyle w:val="Compact"/>
              <w:jc w:val="right"/>
            </w:pPr>
            <w:r>
              <w:t xml:space="preserve">N</w:t>
            </w:r>
          </w:p>
        </w:tc>
      </w:tr>
      <w:tr>
        <w:tc>
          <w:tcPr/>
          <w:p>
            <w:pPr>
              <w:pStyle w:val="Compact"/>
            </w:pPr>
            <w:r>
              <w:t xml:space="preserve">Без испр.</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Правила</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ByT5-512</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3"/>
    <w:bookmarkStart w:id="54"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задаёт нижнюю границу качества: он не исправляет текст, а возвращает исходную зашумлённую строку без изменений. Поэтому полезная модель посткоррекции должна показывать качество выше этого уровня хотя бы по основным метрикам CER и WER.</w:t>
      </w:r>
    </w:p>
    <w:p>
      <w:pPr>
        <w:pStyle w:val="BodyText"/>
      </w:pPr>
      <w:r>
        <w:t xml:space="preserve">ByT5-small 512 превосходит метод без исправления по всем трём метрикам:</w:t>
      </w:r>
    </w:p>
    <w:p>
      <w:pPr>
        <w:pStyle w:val="Compact"/>
        <w:numPr>
          <w:ilvl w:val="0"/>
          <w:numId w:val="1003"/>
        </w:numPr>
      </w:pPr>
      <w:r>
        <w:t xml:space="preserve">CER: с 0.086005 до 0.079913;</w:t>
      </w:r>
    </w:p>
    <w:p>
      <w:pPr>
        <w:pStyle w:val="Compact"/>
        <w:numPr>
          <w:ilvl w:val="0"/>
          <w:numId w:val="1003"/>
        </w:numPr>
      </w:pPr>
      <w:r>
        <w:t xml:space="preserve">WER: с 0.519006 до 0.368540;</w:t>
      </w:r>
    </w:p>
    <w:p>
      <w:pPr>
        <w:pStyle w:val="Compact"/>
        <w:numPr>
          <w:ilvl w:val="0"/>
          <w:numId w:val="1003"/>
        </w:numPr>
      </w:pPr>
      <w:r>
        <w:t xml:space="preserve">ExactMatch: с 0.001250 до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уровне слов.</w:t>
      </w:r>
    </w:p>
    <w:p>
      <w:pPr>
        <w:pStyle w:val="BodyText"/>
      </w:pPr>
      <w:r>
        <w:t xml:space="preserve">Результат поддерживает гипотезу о пользе ByT5-small на синтетическом наборе, но размер эффекта по CER остаётся небольшим. Поэтому это не доказательство готовности модели к практическому OCR, а сигнал, что выбранное направление стоит продолжать на более строгих данных: реальных парах «OCR-вывод — эталон» и разбиении по страницам или источникам.</w:t>
      </w:r>
    </w:p>
    <w:bookmarkEnd w:id="54"/>
    <w:bookmarkStart w:id="55" w:name="нормализатор-на-правилах"/>
    <w:p>
      <w:pPr>
        <w:pStyle w:val="Heading3"/>
      </w:pPr>
      <w:r>
        <w:t xml:space="preserve">5.4 Нормализатор на правилах</w:t>
      </w:r>
    </w:p>
    <w:p>
      <w:pPr>
        <w:pStyle w:val="FirstParagraph"/>
      </w:pPr>
      <w:r>
        <w:t xml:space="preserve">Нормализатор на правилах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методом без исправления нормализатор ухудшает все метрики:</w:t>
      </w:r>
    </w:p>
    <w:p>
      <w:pPr>
        <w:pStyle w:val="Compact"/>
        <w:numPr>
          <w:ilvl w:val="0"/>
          <w:numId w:val="1004"/>
        </w:numPr>
      </w:pPr>
      <w:r>
        <w:t xml:space="preserve">CER: с 0.086005 до 0.151932;</w:t>
      </w:r>
    </w:p>
    <w:p>
      <w:pPr>
        <w:pStyle w:val="Compact"/>
        <w:numPr>
          <w:ilvl w:val="0"/>
          <w:numId w:val="1004"/>
        </w:numPr>
      </w:pPr>
      <w:r>
        <w:t xml:space="preserve">WER: с 0.519006 до 0.684408;</w:t>
      </w:r>
    </w:p>
    <w:p>
      <w:pPr>
        <w:pStyle w:val="Compact"/>
        <w:numPr>
          <w:ilvl w:val="0"/>
          <w:numId w:val="1004"/>
        </w:numPr>
      </w:pPr>
      <w:r>
        <w:t xml:space="preserve">ExactMatch: с 0.001250 до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нормализацию на правилах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простая нормализация на правилах ухудшает качество текста относительно метода без исправления.</w:t>
      </w:r>
    </w:p>
    <w:bookmarkEnd w:id="55"/>
    <w:bookmarkStart w:id="56"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на основе ошибок обучающей выборки выступает дополнительным сравнением, основанным на данных, но не использующим нейросетевую модель. Он показывает, можно ли заметно улучшить качество за счёт устойчивых символьных соответствий, извлечённых из обучающих пар «искажённая строка — эталон», без нейросетевого моделирования контекста.</w:t>
      </w:r>
    </w:p>
    <w:p>
      <w:pPr>
        <w:pStyle w:val="BodyText"/>
      </w:pPr>
      <w:r>
        <w:t xml:space="preserve">По сравнению с методом без исправления этот метод немного снижает CER:</w:t>
      </w:r>
    </w:p>
    <w:p>
      <w:pPr>
        <w:pStyle w:val="Compact"/>
        <w:numPr>
          <w:ilvl w:val="0"/>
          <w:numId w:val="1005"/>
        </w:numPr>
      </w:pPr>
      <w:r>
        <w:t xml:space="preserve">CER: с 0.086005 до 0.082520;</w:t>
      </w:r>
    </w:p>
    <w:p>
      <w:pPr>
        <w:pStyle w:val="Compact"/>
        <w:numPr>
          <w:ilvl w:val="0"/>
          <w:numId w:val="1005"/>
        </w:numPr>
      </w:pPr>
      <w:r>
        <w:t xml:space="preserve">WER: с 0.519006 до 0.506189;</w:t>
      </w:r>
    </w:p>
    <w:p>
      <w:pPr>
        <w:pStyle w:val="Compact"/>
        <w:numPr>
          <w:ilvl w:val="0"/>
          <w:numId w:val="1005"/>
        </w:numPr>
      </w:pPr>
      <w:r>
        <w:t xml:space="preserve">ExactMatch: с 0.001250 до 0.001250.</w:t>
      </w:r>
    </w:p>
    <w:p>
      <w:pPr>
        <w:pStyle w:val="FirstParagraph"/>
      </w:pPr>
      <w:r>
        <w:t xml:space="preserve">Такой результат важен для интерпретации. Простые символьные соответствия, извлечённые из обучающей выборки, действительно исправляют часть локальных символьных ошибок, но почти не улучшают качество на уровне слов.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6"/>
    <w:bookmarkStart w:id="57"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с 0.519006 до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синтетический шум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ошибку на уровне слов. Если модель восстанавливает часть таких синтетических искажений границ слов, WER может снижаться существенно сильнее, чем CER.</w:t>
      </w:r>
    </w:p>
    <w:p>
      <w:pPr>
        <w:pStyle w:val="BodyText"/>
      </w:pPr>
      <w:r>
        <w:t xml:space="preserve">Поэтому CER и WER нельзя читать по отдельности. По CER улучшение ByT5-small умеренное: с 0.086005 до 0.079913. По WER эффект заметнее, но часть этого эффекта связана с исправлением синтетических ошибок пробелов и границ слов. Такой результат показывает работоспособность модели на проверочном стенде, но не подтверждает такой же выигрыш на реальных архивных сканах или OCR/HTR-выводах.</w:t>
      </w:r>
    </w:p>
    <w:p>
      <w:pPr>
        <w:pStyle w:val="BodyText"/>
      </w:pPr>
      <w:r>
        <w:t xml:space="preserve">Поскольку тестовый набор построен в этой работе, прямого опубликованного результата на точно таком же наборе данных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лучший опубликованный результат для посткоррекции OCR в целом.</w:t>
      </w:r>
    </w:p>
    <w:bookmarkEnd w:id="57"/>
    <w:bookmarkStart w:id="58"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байтовым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максимальная длина последовательности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8"/>
    <w:bookmarkStart w:id="59"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Этот результат важен тем, что агрегированные метрики не держатся на нескольких удачных строках: ByT5-small 512 улучшает большинство тестовых примеров и по CER, и по WER. Но 58–60 ухудшенных случаев показывают предел безопасности модели: она не только исправляет ошибки, но иногда добавляет новые.</w:t>
      </w:r>
    </w:p>
    <w:p>
      <w:pPr>
        <w:pStyle w:val="BodyText"/>
      </w:pPr>
      <w:r>
        <w:t xml:space="preserve">В примерах видны два сценария. В удачных случаях ByT5-small исправляет локальные OCR-подобные искажения, восстанавливает отдельные графемы и делает границы слов ближе к эталону. В худших случаях модель начинает порождать повторяющиеся фрагменты или заметно удлиняет строку. Для практического применения это принципиально: посткорректору нужен механизм отката, анализ худших случаев и ручная проверка спорных строк. Без этих защитных процедур модель нельзя считать безопасным автоматическим корректором.</w:t>
      </w:r>
    </w:p>
    <w:bookmarkEnd w:id="59"/>
    <w:bookmarkStart w:id="60"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Среднее снижение CER: 0.006092;</w:t>
      </w:r>
    </w:p>
    <w:p>
      <w:pPr>
        <w:pStyle w:val="Compact"/>
        <w:numPr>
          <w:ilvl w:val="0"/>
          <w:numId w:val="1006"/>
        </w:numPr>
      </w:pPr>
      <w:r>
        <w:t xml:space="preserve">Среднее снижение WER: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снижение ошибки полезно как количественное резюме, но его недостаточно для окончательной оценки качества. Поэтому оно рассматривается вместе с распределением улучшенных, неизменённых и ухудшенных примеров и качественным анализом лучших и худших случаев.</w:t>
      </w:r>
    </w:p>
    <w:bookmarkEnd w:id="60"/>
    <w:bookmarkStart w:id="61"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нормализатор на правилах ухудшает качество относительно метода без исправления.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метода без исправления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подход на основе модели с байтовым представлением и преобразованием последовательностей является работоспособным направлением для пилотной посткоррекции, но не финальным доказательством качества на реальном OCR/HTR-выводе.</w:t>
      </w:r>
    </w:p>
    <w:p>
      <w:pPr>
        <w:pStyle w:val="BodyText"/>
      </w:pPr>
      <w:r>
        <w:t xml:space="preserve">Третий вывод касается настройки модели: максимальная длина последовательности является важным параметром для обработки арабографичного текста моделью с байтовым представлением.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улучшенных, неизменённых и ухудшенных примеров.</w:t>
      </w:r>
    </w:p>
    <w:bookmarkEnd w:id="61"/>
    <w:bookmarkStart w:id="62"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нужна вручную проверенная подвыборка, где ошибки модели будут оцениваться не только автоматически, но и экспертно.</w:t>
      </w:r>
    </w:p>
    <w:bookmarkEnd w:id="62"/>
    <w:bookmarkStart w:id="63"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набором данных: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исходный OCR Tesseract как начальный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страницы на фрагменты;</w:t>
      </w:r>
    </w:p>
    <w:p>
      <w:pPr>
        <w:pStyle w:val="Compact"/>
        <w:numPr>
          <w:ilvl w:val="0"/>
          <w:numId w:val="1007"/>
        </w:numPr>
      </w:pPr>
      <w:r>
        <w:t xml:space="preserve">ByT5-small со строгой фильтрацией, где предсказание отбрасывается, если оно слишком сильно меняет длину или слишком далеко уходит от исходного OCR.</w:t>
      </w:r>
    </w:p>
    <w:p>
      <w:pPr>
        <w:pStyle w:val="FirstParagraph"/>
      </w:pPr>
      <w:r>
        <w:t xml:space="preserve">Основные символные метрики проверки на реальном OCR представлены ниже. Для компактности</w:t>
      </w:r>
      <w:r>
        <w:t xml:space="preserve"> </w:t>
      </w:r>
      <w:r>
        <w:rPr>
          <w:rStyle w:val="VerbatimChar"/>
        </w:rPr>
        <w:t xml:space="preserve">NS-CER</w:t>
      </w:r>
      <w:r>
        <w:t xml:space="preserve"> </w:t>
      </w:r>
      <w:r>
        <w:t xml:space="preserve">обозначает NoSpaceCER.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Система</w:t>
            </w:r>
          </w:p>
        </w:tc>
        <w:tc>
          <w:tcPr/>
          <w:p>
            <w:pPr>
              <w:pStyle w:val="Compact"/>
              <w:jc w:val="right"/>
            </w:pPr>
            <w:r>
              <w:t xml:space="preserve">Стр.</w:t>
            </w:r>
          </w:p>
        </w:tc>
        <w:tc>
          <w:tcPr/>
          <w:p>
            <w:pPr>
              <w:pStyle w:val="Compact"/>
              <w:jc w:val="right"/>
            </w:pPr>
            <w:r>
              <w:t xml:space="preserve">CER ср.</w:t>
            </w:r>
          </w:p>
        </w:tc>
        <w:tc>
          <w:tcPr/>
          <w:p>
            <w:pPr>
              <w:pStyle w:val="Compact"/>
              <w:jc w:val="right"/>
            </w:pPr>
            <w:r>
              <w:t xml:space="preserve">CER мед.</w:t>
            </w:r>
          </w:p>
        </w:tc>
        <w:tc>
          <w:tcPr/>
          <w:p>
            <w:pPr>
              <w:pStyle w:val="Compact"/>
              <w:jc w:val="right"/>
            </w:pPr>
            <w:r>
              <w:t xml:space="preserve">NS-CER</w:t>
            </w:r>
          </w:p>
        </w:tc>
      </w:tr>
      <w:tr>
        <w:tc>
          <w:tcPr/>
          <w:p>
            <w:pPr>
              <w:pStyle w:val="Compact"/>
            </w:pPr>
            <w:r>
              <w:t xml:space="preserve">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0.3421</w:t>
            </w:r>
          </w:p>
        </w:tc>
      </w:tr>
      <w:tr>
        <w:tc>
          <w:tcPr/>
          <w:p>
            <w:pPr>
              <w:pStyle w:val="Compact"/>
            </w:pPr>
            <w:r>
              <w:t xml:space="preserve">ByT5-frag</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0.4658</w:t>
            </w:r>
          </w:p>
        </w:tc>
      </w:tr>
      <w:tr>
        <w:tc>
          <w:tcPr/>
          <w:p>
            <w:pPr>
              <w:pStyle w:val="Compact"/>
            </w:pPr>
            <w:r>
              <w:t xml:space="preserve">ByT5-filter</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0.3830</w:t>
            </w:r>
          </w:p>
        </w:tc>
      </w:tr>
    </w:tbl>
    <w:p>
      <w:pPr>
        <w:pStyle w:val="BodyText"/>
      </w:pPr>
      <w:r>
        <w:t xml:space="preserve">Метрики на уровне слов приведены отдельно, чтобы не перегружать таблицу.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Система</w:t>
            </w:r>
          </w:p>
        </w:tc>
        <w:tc>
          <w:tcPr/>
          <w:p>
            <w:pPr>
              <w:pStyle w:val="Compact"/>
              <w:jc w:val="right"/>
            </w:pPr>
            <w:r>
              <w:t xml:space="preserve">WER ср.</w:t>
            </w:r>
          </w:p>
        </w:tc>
        <w:tc>
          <w:tcPr/>
          <w:p>
            <w:pPr>
              <w:pStyle w:val="Compact"/>
              <w:jc w:val="right"/>
            </w:pPr>
            <w:r>
              <w:t xml:space="preserve">WER мед.</w:t>
            </w:r>
          </w:p>
        </w:tc>
      </w:tr>
      <w:tr>
        <w:tc>
          <w:tcPr/>
          <w:p>
            <w:pPr>
              <w:pStyle w:val="Compact"/>
            </w:pPr>
            <w:r>
              <w:t xml:space="preserve">Tesseract</w:t>
            </w:r>
          </w:p>
        </w:tc>
        <w:tc>
          <w:tcPr/>
          <w:p>
            <w:pPr>
              <w:pStyle w:val="Compact"/>
              <w:jc w:val="right"/>
            </w:pPr>
            <w:r>
              <w:t xml:space="preserve">0.9238</w:t>
            </w:r>
          </w:p>
        </w:tc>
        <w:tc>
          <w:tcPr/>
          <w:p>
            <w:pPr>
              <w:pStyle w:val="Compact"/>
              <w:jc w:val="right"/>
            </w:pPr>
            <w:r>
              <w:t xml:space="preserve">0.8943</w:t>
            </w:r>
          </w:p>
        </w:tc>
      </w:tr>
      <w:tr>
        <w:tc>
          <w:tcPr/>
          <w:p>
            <w:pPr>
              <w:pStyle w:val="Compact"/>
            </w:pPr>
            <w:r>
              <w:t xml:space="preserve">ByT5-frag</w:t>
            </w:r>
          </w:p>
        </w:tc>
        <w:tc>
          <w:tcPr/>
          <w:p>
            <w:pPr>
              <w:pStyle w:val="Compact"/>
              <w:jc w:val="right"/>
            </w:pPr>
            <w:r>
              <w:t xml:space="preserve">0.8919</w:t>
            </w:r>
          </w:p>
        </w:tc>
        <w:tc>
          <w:tcPr/>
          <w:p>
            <w:pPr>
              <w:pStyle w:val="Compact"/>
              <w:jc w:val="right"/>
            </w:pPr>
            <w:r>
              <w:t xml:space="preserve">0.8579</w:t>
            </w:r>
          </w:p>
        </w:tc>
      </w:tr>
      <w:tr>
        <w:tc>
          <w:tcPr/>
          <w:p>
            <w:pPr>
              <w:pStyle w:val="Compact"/>
            </w:pPr>
            <w:r>
              <w:t xml:space="preserve">ByT5-filter</w:t>
            </w:r>
          </w:p>
        </w:tc>
        <w:tc>
          <w:tcPr/>
          <w:p>
            <w:pPr>
              <w:pStyle w:val="Compact"/>
              <w:jc w:val="right"/>
            </w:pPr>
            <w:r>
              <w:t xml:space="preserve">0.9039</w:t>
            </w:r>
          </w:p>
        </w:tc>
        <w:tc>
          <w:tcPr/>
          <w:p>
            <w:pPr>
              <w:pStyle w:val="Compact"/>
              <w:jc w:val="right"/>
            </w:pPr>
            <w:r>
              <w:t xml:space="preserve">0.8605</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метрика на уровне слов может улучшаться за счёт пробелов и границ слов, но если ошибка на уровне символов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ByT5-frag</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ByT5-filter</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Строгая фильтрация резко уменьшает число плохих случаев и даёт 33 улучшенные страницы, но средний CER всё равно остаётся хуже, чем у исходного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пары «OCR-вывод — эталон», постраничное разбиение без утечки, обучение на настоящих OCR-ошибках и более аккуратная проверка на страницах, не использованных при обучении.</w:t>
      </w:r>
    </w:p>
    <w:bookmarkEnd w:id="63"/>
    <w:bookmarkStart w:id="64" w:name="X7e9a333c0e348598314438ea8ff63960782a9d4"/>
    <w:p>
      <w:pPr>
        <w:pStyle w:val="Heading3"/>
      </w:pPr>
      <w:r>
        <w:t xml:space="preserve">5.13 Качественный разбор отдельных строк реального OCR</w:t>
      </w:r>
    </w:p>
    <w:p>
      <w:pPr>
        <w:pStyle w:val="FirstParagraph"/>
      </w:pPr>
      <w:r>
        <w:t xml:space="preserve">Агрегированные метрики показывают общий эффект, но для проверки на реальном OCR важно посмотреть и на отдельные строки. Ниже приведены примеры из построчной подвыборки реального OCR: исходный OCR-вывод Tesseract, предсказание ByT5-small и проверенный эталонный текст. Эти примеры не используются как самостоятельное доказательство качества модели; они нужны для интерпретации типов ошибок.</w:t>
      </w:r>
    </w:p>
    <w:p>
      <w:pPr>
        <w:pStyle w:val="BodyText"/>
      </w:pPr>
      <w:r>
        <w:rPr>
          <w:b/>
          <w:bCs/>
        </w:rPr>
        <w:t xml:space="preserve">Пример 1 — небольшое улучшение за счёт локальной правки.</w:t>
      </w:r>
    </w:p>
    <w:p>
      <w:pPr>
        <w:pStyle w:val="Compact"/>
        <w:numPr>
          <w:ilvl w:val="0"/>
          <w:numId w:val="1008"/>
        </w:numPr>
      </w:pPr>
      <w:r>
        <w:t xml:space="preserve">OCR:</w:t>
      </w:r>
      <w:r>
        <w:t xml:space="preserve"> </w:t>
      </w:r>
      <w:r>
        <w:rPr>
          <w:rStyle w:val="VerbatimChar"/>
        </w:rPr>
        <w:t xml:space="preserve">ادمار تشديرمشدر . بونلرك اوقراينا تارخى واتنوغىافسى حقنده</w:t>
      </w:r>
    </w:p>
    <w:p>
      <w:pPr>
        <w:pStyle w:val="Compact"/>
        <w:numPr>
          <w:ilvl w:val="0"/>
          <w:numId w:val="1008"/>
        </w:numPr>
      </w:pPr>
      <w:r>
        <w:t xml:space="preserve">ByT5:</w:t>
      </w:r>
      <w:r>
        <w:t xml:space="preserve"> </w:t>
      </w:r>
      <w:r>
        <w:rPr>
          <w:rStyle w:val="VerbatimChar"/>
        </w:rPr>
        <w:t xml:space="preserve">ادمار تشديرمشدر. بونلرك اوقراينا تارخى واتنوغيافسى حقنده</w:t>
      </w:r>
    </w:p>
    <w:p>
      <w:pPr>
        <w:pStyle w:val="Compact"/>
        <w:numPr>
          <w:ilvl w:val="0"/>
          <w:numId w:val="1008"/>
        </w:numPr>
      </w:pPr>
      <w:r>
        <w:t xml:space="preserve">Эталон:</w:t>
      </w:r>
      <w:r>
        <w:t xml:space="preserve"> </w:t>
      </w:r>
      <w:r>
        <w:rPr>
          <w:rStyle w:val="VerbatimChar"/>
        </w:rPr>
        <w:t xml:space="preserve">اديبلر يتيشدير مشدر. بونلرك اوقراينا تاریخی واتنوغرافيسى حقنده</w:t>
      </w:r>
    </w:p>
    <w:p>
      <w:pPr>
        <w:pStyle w:val="Compact"/>
        <w:numPr>
          <w:ilvl w:val="0"/>
          <w:numId w:val="1008"/>
        </w:numPr>
      </w:pPr>
      <w:r>
        <w:t xml:space="preserve">CER:</w:t>
      </w:r>
      <w:r>
        <w:t xml:space="preserve"> </w:t>
      </w:r>
      <w:r>
        <w:rPr>
          <w:rStyle w:val="VerbatimChar"/>
        </w:rPr>
        <w:t xml:space="preserve">с 0.177419 до 0.161290</w:t>
      </w:r>
    </w:p>
    <w:p>
      <w:pPr>
        <w:pStyle w:val="FirstParagraph"/>
      </w:pPr>
      <w:r>
        <w:t xml:space="preserve">В этом случае модель немного приближает строку к эталону: убирает лишний пробел перед точкой и частично меняет фрагмент слова. Однако строка всё равно остаётся далека от эталона: часть ошибок Tesseract связана не с одним символом, а с неверным чтением целого фрагмента.</w:t>
      </w:r>
    </w:p>
    <w:p>
      <w:pPr>
        <w:pStyle w:val="BodyText"/>
      </w:pPr>
      <w:r>
        <w:rPr>
          <w:b/>
          <w:bCs/>
        </w:rPr>
        <w:t xml:space="preserve">Пример 2 — улучшение локальной формы, но без полного восстановления строки.</w:t>
      </w:r>
    </w:p>
    <w:p>
      <w:pPr>
        <w:pStyle w:val="Compact"/>
        <w:numPr>
          <w:ilvl w:val="0"/>
          <w:numId w:val="1009"/>
        </w:numPr>
      </w:pPr>
      <w:r>
        <w:t xml:space="preserve">OCR:</w:t>
      </w:r>
      <w:r>
        <w:t xml:space="preserve"> </w:t>
      </w:r>
      <w:r>
        <w:rPr>
          <w:rStyle w:val="VerbatimChar"/>
        </w:rPr>
        <w:t xml:space="preserve">تعميق وتوستى اجون مهم برر سائق اواشاردر . بودورهيهمنسوب</w:t>
      </w:r>
    </w:p>
    <w:p>
      <w:pPr>
        <w:pStyle w:val="Compact"/>
        <w:numPr>
          <w:ilvl w:val="0"/>
          <w:numId w:val="1009"/>
        </w:numPr>
      </w:pPr>
      <w:r>
        <w:t xml:space="preserve">ByT5:</w:t>
      </w:r>
      <w:r>
        <w:t xml:space="preserve"> </w:t>
      </w:r>
      <w:r>
        <w:rPr>
          <w:rStyle w:val="VerbatimChar"/>
        </w:rPr>
        <w:t xml:space="preserve">تعميق وتوستى اجون مهم بر سائق اواشاردر. بودوره يه منسوب</w:t>
      </w:r>
    </w:p>
    <w:p>
      <w:pPr>
        <w:pStyle w:val="Compact"/>
        <w:numPr>
          <w:ilvl w:val="0"/>
          <w:numId w:val="1009"/>
        </w:numPr>
      </w:pPr>
      <w:r>
        <w:t xml:space="preserve">Эталон:</w:t>
      </w:r>
      <w:r>
        <w:t xml:space="preserve"> </w:t>
      </w:r>
      <w:r>
        <w:rPr>
          <w:rStyle w:val="VerbatimChar"/>
        </w:rPr>
        <w:t xml:space="preserve">تعميق وتوسیعی ايچون مهم برر سائق اولمشلردر. بودوره به منسوب</w:t>
      </w:r>
    </w:p>
    <w:p>
      <w:pPr>
        <w:pStyle w:val="Compact"/>
        <w:numPr>
          <w:ilvl w:val="0"/>
          <w:numId w:val="1009"/>
        </w:numPr>
      </w:pPr>
      <w:r>
        <w:t xml:space="preserve">CER:</w:t>
      </w:r>
      <w:r>
        <w:t xml:space="preserve"> </w:t>
      </w:r>
      <w:r>
        <w:rPr>
          <w:rStyle w:val="VerbatimChar"/>
        </w:rPr>
        <w:t xml:space="preserve">с 0.203390 до 0.169492</w:t>
      </w:r>
    </w:p>
    <w:p>
      <w:pPr>
        <w:pStyle w:val="FirstParagraph"/>
      </w:pPr>
      <w:r>
        <w:t xml:space="preserve">Здесь ByT5 исправляет часть пробельных и локальных ошибок, поэтому CER снижается. Но модель не восстанавливает более сложные расхождения вроде</w:t>
      </w:r>
      <w:r>
        <w:t xml:space="preserve"> </w:t>
      </w:r>
      <w:r>
        <w:rPr>
          <w:rStyle w:val="VerbatimChar"/>
        </w:rPr>
        <w:t xml:space="preserve">وتوسیعی</w:t>
      </w:r>
      <w:r>
        <w:t xml:space="preserve">,</w:t>
      </w:r>
      <w:r>
        <w:t xml:space="preserve"> </w:t>
      </w:r>
      <w:r>
        <w:rPr>
          <w:rStyle w:val="VerbatimChar"/>
        </w:rPr>
        <w:t xml:space="preserve">ايچون</w:t>
      </w:r>
      <w:r>
        <w:t xml:space="preserve"> </w:t>
      </w:r>
      <w:r>
        <w:t xml:space="preserve">и</w:t>
      </w:r>
      <w:r>
        <w:t xml:space="preserve"> </w:t>
      </w:r>
      <w:r>
        <w:rPr>
          <w:rStyle w:val="VerbatimChar"/>
        </w:rPr>
        <w:t xml:space="preserve">اولمشلردر</w:t>
      </w:r>
      <w:r>
        <w:t xml:space="preserve">. Это показывает границу модели, обученной только на синтетическом шуме.</w:t>
      </w:r>
    </w:p>
    <w:p>
      <w:pPr>
        <w:pStyle w:val="BodyText"/>
      </w:pPr>
      <w:r>
        <w:rPr>
          <w:b/>
          <w:bCs/>
        </w:rPr>
        <w:t xml:space="preserve">Пример 3 — полезная частичная коррекция имени или фрагмента.</w:t>
      </w:r>
    </w:p>
    <w:p>
      <w:pPr>
        <w:pStyle w:val="Compact"/>
        <w:numPr>
          <w:ilvl w:val="0"/>
          <w:numId w:val="1010"/>
        </w:numPr>
      </w:pPr>
      <w:r>
        <w:t xml:space="preserve">OCR:</w:t>
      </w:r>
      <w:r>
        <w:t xml:space="preserve"> </w:t>
      </w:r>
      <w:r>
        <w:rPr>
          <w:rStyle w:val="VerbatimChar"/>
        </w:rPr>
        <w:t xml:space="preserve">( جوينسكى ) ومورخ وشاع ( قوليش )ك2 اسمارى ذكر</w:t>
      </w:r>
    </w:p>
    <w:p>
      <w:pPr>
        <w:pStyle w:val="Compact"/>
        <w:numPr>
          <w:ilvl w:val="0"/>
          <w:numId w:val="1010"/>
        </w:numPr>
      </w:pPr>
      <w:r>
        <w:t xml:space="preserve">ByT5:</w:t>
      </w:r>
      <w:r>
        <w:t xml:space="preserve"> </w:t>
      </w:r>
      <w:r>
        <w:rPr>
          <w:rStyle w:val="VerbatimChar"/>
        </w:rPr>
        <w:t xml:space="preserve">(جوينسكى ) ومورخ وشاع (قوليش)ك اسمارى ذكر</w:t>
      </w:r>
    </w:p>
    <w:p>
      <w:pPr>
        <w:pStyle w:val="Compact"/>
        <w:numPr>
          <w:ilvl w:val="0"/>
          <w:numId w:val="1010"/>
        </w:numPr>
      </w:pPr>
      <w:r>
        <w:t xml:space="preserve">Эталон:</w:t>
      </w:r>
      <w:r>
        <w:t xml:space="preserve"> </w:t>
      </w:r>
      <w:r>
        <w:rPr>
          <w:rStyle w:val="VerbatimChar"/>
        </w:rPr>
        <w:t xml:space="preserve">(چوبينسكي) ومورخ وشاعر (قوليش)ك اسملرى ذكر ایديلمليدرلر.</w:t>
      </w:r>
    </w:p>
    <w:p>
      <w:pPr>
        <w:pStyle w:val="Compact"/>
        <w:numPr>
          <w:ilvl w:val="0"/>
          <w:numId w:val="1010"/>
        </w:numPr>
      </w:pPr>
      <w:r>
        <w:t xml:space="preserve">CER:</w:t>
      </w:r>
      <w:r>
        <w:t xml:space="preserve"> </w:t>
      </w:r>
      <w:r>
        <w:rPr>
          <w:rStyle w:val="VerbatimChar"/>
        </w:rPr>
        <w:t xml:space="preserve">с 0.428571 до 0.357143</w:t>
      </w:r>
    </w:p>
    <w:p>
      <w:pPr>
        <w:pStyle w:val="FirstParagraph"/>
      </w:pPr>
      <w:r>
        <w:t xml:space="preserve">В этом примере модель убирает часть лишних пробелов и артефакт</w:t>
      </w:r>
      <w:r>
        <w:t xml:space="preserve"> </w:t>
      </w:r>
      <w:r>
        <w:rPr>
          <w:rStyle w:val="VerbatimChar"/>
        </w:rPr>
        <w:t xml:space="preserve">ك2</w:t>
      </w:r>
      <w:r>
        <w:t xml:space="preserve">, из-за чего формальная близость к эталону растёт. Но она не восстанавливает пропущенную часть строки и не исправляет все графемные различия. Такой случай показывает, что ByT5 может давать полезную частичную коррекцию, но не заменяет полноценную line-level модель, обученную на настоящих OCR-ошибках.</w:t>
      </w:r>
    </w:p>
    <w:p>
      <w:pPr>
        <w:pStyle w:val="BodyText"/>
      </w:pPr>
      <w:r>
        <w:rPr>
          <w:b/>
          <w:bCs/>
        </w:rPr>
        <w:t xml:space="preserve">Пример 4 — ухудшение из-за неудачной генерации.</w:t>
      </w:r>
    </w:p>
    <w:p>
      <w:pPr>
        <w:pStyle w:val="Compact"/>
        <w:numPr>
          <w:ilvl w:val="0"/>
          <w:numId w:val="1011"/>
        </w:numPr>
      </w:pPr>
      <w:r>
        <w:t xml:space="preserve">OCR:</w:t>
      </w:r>
      <w:r>
        <w:t xml:space="preserve"> </w:t>
      </w:r>
      <w:r>
        <w:rPr>
          <w:rStyle w:val="VerbatimChar"/>
        </w:rPr>
        <w:t xml:space="preserve">بازش اولدقارى اترار» اوكراساعاومق» اووويا علماريتك سويسته</w:t>
      </w:r>
    </w:p>
    <w:p>
      <w:pPr>
        <w:pStyle w:val="Compact"/>
        <w:numPr>
          <w:ilvl w:val="0"/>
          <w:numId w:val="1011"/>
        </w:numPr>
      </w:pPr>
      <w:r>
        <w:t xml:space="preserve">ByT5:</w:t>
      </w:r>
      <w:r>
        <w:t xml:space="preserve"> </w:t>
      </w:r>
      <w:r>
        <w:rPr>
          <w:rStyle w:val="VerbatimChar"/>
        </w:rPr>
        <w:t xml:space="preserve">بارش اولدقارى اترار» اوكراساع اومق» اووونا علماريتك سويسته</w:t>
      </w:r>
    </w:p>
    <w:p>
      <w:pPr>
        <w:pStyle w:val="Compact"/>
        <w:numPr>
          <w:ilvl w:val="0"/>
          <w:numId w:val="1011"/>
        </w:numPr>
      </w:pPr>
      <w:r>
        <w:t xml:space="preserve">Эталон:</w:t>
      </w:r>
      <w:r>
        <w:t xml:space="preserve"> </w:t>
      </w:r>
      <w:r>
        <w:rPr>
          <w:rStyle w:val="VerbatimChar"/>
        </w:rPr>
        <w:t xml:space="preserve">يازمش اولدقلری اثرلر، اوقرانيا علومنی، آوروپا عاملرينك سويەسنه</w:t>
      </w:r>
    </w:p>
    <w:p>
      <w:pPr>
        <w:pStyle w:val="Compact"/>
        <w:numPr>
          <w:ilvl w:val="0"/>
          <w:numId w:val="1011"/>
        </w:numPr>
      </w:pPr>
      <w:r>
        <w:t xml:space="preserve">CER:</w:t>
      </w:r>
      <w:r>
        <w:t xml:space="preserve"> </w:t>
      </w:r>
      <w:r>
        <w:rPr>
          <w:rStyle w:val="VerbatimChar"/>
        </w:rPr>
        <w:t xml:space="preserve">с 0.370968 до 0.403226</w:t>
      </w:r>
    </w:p>
    <w:p>
      <w:pPr>
        <w:pStyle w:val="FirstParagraph"/>
      </w:pPr>
      <w:r>
        <w:t xml:space="preserve">Здесь модель меняет отдельные фрагменты, но не приближает строку к эталону. Ошибка Tesseract слишком велика и затрагивает смысловые куски строки, поэтому локальная посткоррекция начинает добавлять новые расхождения.</w:t>
      </w:r>
    </w:p>
    <w:p>
      <w:pPr>
        <w:pStyle w:val="BodyText"/>
      </w:pPr>
      <w:r>
        <w:rPr>
          <w:b/>
          <w:bCs/>
        </w:rPr>
        <w:t xml:space="preserve">Пример 5 — почти полный провал OCR, который модель не может восстановить.</w:t>
      </w:r>
    </w:p>
    <w:p>
      <w:pPr>
        <w:pStyle w:val="Compact"/>
        <w:numPr>
          <w:ilvl w:val="0"/>
          <w:numId w:val="1012"/>
        </w:numPr>
      </w:pPr>
      <w:r>
        <w:t xml:space="preserve">OCR:</w:t>
      </w:r>
      <w:r>
        <w:t xml:space="preserve"> </w:t>
      </w:r>
      <w:r>
        <w:rPr>
          <w:rStyle w:val="VerbatimChar"/>
        </w:rPr>
        <w:t xml:space="preserve">فقط بواسمارك قعرنده اوقراينالك بوتون قواى فطر يوسن ى شل</w:t>
      </w:r>
    </w:p>
    <w:p>
      <w:pPr>
        <w:pStyle w:val="Compact"/>
        <w:numPr>
          <w:ilvl w:val="0"/>
          <w:numId w:val="1012"/>
        </w:numPr>
      </w:pPr>
      <w:r>
        <w:t xml:space="preserve">ByT5:</w:t>
      </w:r>
      <w:r>
        <w:t xml:space="preserve"> </w:t>
      </w:r>
      <w:r>
        <w:rPr>
          <w:rStyle w:val="VerbatimChar"/>
        </w:rPr>
        <w:t xml:space="preserve">فقط بواسمارك قعرنده اوقراينالك بوتون قواى فطر يوسنى شلر</w:t>
      </w:r>
    </w:p>
    <w:p>
      <w:pPr>
        <w:pStyle w:val="Compact"/>
        <w:numPr>
          <w:ilvl w:val="0"/>
          <w:numId w:val="1012"/>
        </w:numPr>
      </w:pPr>
      <w:r>
        <w:t xml:space="preserve">Эталон:</w:t>
      </w:r>
      <w:r>
        <w:t xml:space="preserve"> </w:t>
      </w:r>
      <w:r>
        <w:rPr>
          <w:rStyle w:val="VerbatimChar"/>
        </w:rPr>
        <w:t xml:space="preserve">بويوك اوقراينا شاعری (طاراس شەوچەنقو)نك اسمى</w:t>
      </w:r>
    </w:p>
    <w:p>
      <w:pPr>
        <w:pStyle w:val="Compact"/>
        <w:numPr>
          <w:ilvl w:val="0"/>
          <w:numId w:val="1012"/>
        </w:numPr>
      </w:pPr>
      <w:r>
        <w:t xml:space="preserve">CER:</w:t>
      </w:r>
      <w:r>
        <w:t xml:space="preserve"> </w:t>
      </w:r>
      <w:r>
        <w:rPr>
          <w:rStyle w:val="VerbatimChar"/>
        </w:rPr>
        <w:t xml:space="preserve">с 0.931818 до 0.931818</w:t>
      </w:r>
    </w:p>
    <w:p>
      <w:pPr>
        <w:pStyle w:val="FirstParagraph"/>
      </w:pPr>
      <w:r>
        <w:t xml:space="preserve">В этом случае OCR-вывод почти не соответствует эталону. ByT5 делает небольшую локальную правку, но не имеет достаточной информации, чтобы восстановить правильную строку. Такой пример особенно важен: если исходный OCR сильно ошибается на уровне строки или порядка чтения, текстовая посткоррекция без изображения и без обучения на реальных OCR-ошибках не решает задачу.</w:t>
      </w:r>
    </w:p>
    <w:p>
      <w:pPr>
        <w:pStyle w:val="BodyText"/>
      </w:pPr>
      <w:r>
        <w:t xml:space="preserve">Эти примеры уточняют количественный вывод. На построчной подвыборке ByT5-small может немного улучшать CER и WER, но улучшение часто связано с локальными исправлениями, пробелами и частичными графемными заменами. При грубых ошибках Tesseract, пропусках больших фрагментов или нарушении порядка чтения модель либо почти ничего не исправляет, либо ухудшает строку. Поэтому следующий этап должен включать выровненные пары «OCR-вывод — эталон», ручную типологию ошибок и обучение на настоящем распределении OCR-ошибок.</w:t>
      </w:r>
    </w:p>
    <w:bookmarkEnd w:id="64"/>
    <w:bookmarkStart w:id="65" w:name="Xc49697dafbe0e7fd9f030ef296d0d6e7abcc8c1"/>
    <w:p>
      <w:pPr>
        <w:pStyle w:val="Heading3"/>
      </w:pPr>
      <w:r>
        <w:t xml:space="preserve">5.14 Качественный разбор постраничных случаев реального OCR</w:t>
      </w:r>
    </w:p>
    <w:p>
      <w:pPr>
        <w:pStyle w:val="FirstParagraph"/>
      </w:pPr>
      <w:r>
        <w:t xml:space="preserve">Построчные примеры показывают локальные типы ошибок, но постраничная проверка отвечает на другой вопрос: что происходит, если применить модель к целой странице после разбиения на фрагменты. Ниже приведены несколько характерных случаев из постраничного эксперимента. В столбцах CER и WER значения указаны в порядке «исходный OCR / ByT5 / фильтрация»: исходный OCR — результат Tesseract, ByT5 — модель после применения к фрагментам страницы, фильтрация — вариант со строгой проверкой предсказаний.</w:t>
      </w:r>
    </w:p>
    <w:tbl>
      <w:tblPr>
        <w:tblStyle w:val="Table"/>
        <w:tblW w:type="pct" w:w="5000"/>
        <w:tblLayout w:type="fixed"/>
        <w:tblLook w:firstRow="1" w:lastRow="0" w:firstColumn="0" w:lastColumn="0" w:noHBand="0" w:noVBand="0" w:val="0020"/>
      </w:tblPr>
      <w:tblGrid>
        <w:gridCol w:w="1667"/>
        <w:gridCol w:w="1667"/>
        <w:gridCol w:w="1667"/>
        <w:gridCol w:w="1667"/>
        <w:gridCol w:w="1250"/>
      </w:tblGrid>
      <w:tr>
        <w:trPr>
          <w:tblHeader w:val="on"/>
        </w:trPr>
        <w:tc>
          <w:tcPr/>
          <w:p>
            <w:pPr>
              <w:pStyle w:val="Compact"/>
              <w:jc w:val="right"/>
            </w:pPr>
            <w:r>
              <w:t xml:space="preserve">№</w:t>
            </w:r>
          </w:p>
        </w:tc>
        <w:tc>
          <w:tcPr/>
          <w:p>
            <w:pPr>
              <w:pStyle w:val="Compact"/>
              <w:jc w:val="right"/>
            </w:pPr>
            <w:r>
              <w:t xml:space="preserve">Стр.</w:t>
            </w:r>
          </w:p>
        </w:tc>
        <w:tc>
          <w:tcPr/>
          <w:p>
            <w:pPr>
              <w:pStyle w:val="Compact"/>
              <w:jc w:val="right"/>
            </w:pPr>
            <w:r>
              <w:t xml:space="preserve">CER</w:t>
            </w:r>
          </w:p>
        </w:tc>
        <w:tc>
          <w:tcPr/>
          <w:p>
            <w:pPr>
              <w:pStyle w:val="Compact"/>
              <w:jc w:val="right"/>
            </w:pPr>
            <w:r>
              <w:t xml:space="preserve">WER</w:t>
            </w:r>
          </w:p>
        </w:tc>
        <w:tc>
          <w:tcPr/>
          <w:p>
            <w:pPr>
              <w:pStyle w:val="Compact"/>
            </w:pPr>
            <w:r>
              <w:t xml:space="preserve">Итог</w:t>
            </w:r>
          </w:p>
        </w:tc>
      </w:tr>
      <w:tr>
        <w:tc>
          <w:tcPr/>
          <w:p>
            <w:pPr>
              <w:pStyle w:val="Compact"/>
              <w:jc w:val="right"/>
            </w:pPr>
            <w:r>
              <w:t xml:space="preserve">1</w:t>
            </w:r>
          </w:p>
        </w:tc>
        <w:tc>
          <w:tcPr/>
          <w:p>
            <w:pPr>
              <w:pStyle w:val="Compact"/>
              <w:jc w:val="right"/>
            </w:pPr>
            <w:r>
              <w:t xml:space="preserve">50</w:t>
            </w:r>
          </w:p>
        </w:tc>
        <w:tc>
          <w:tcPr/>
          <w:p>
            <w:pPr>
              <w:pStyle w:val="Compact"/>
              <w:jc w:val="right"/>
            </w:pPr>
            <w:r>
              <w:t xml:space="preserve">0.272 / 0.254 / 0.254</w:t>
            </w:r>
          </w:p>
        </w:tc>
        <w:tc>
          <w:tcPr/>
          <w:p>
            <w:pPr>
              <w:pStyle w:val="Compact"/>
              <w:jc w:val="right"/>
            </w:pPr>
            <w:r>
              <w:t xml:space="preserve">0.872 / 0.822 / 0.822</w:t>
            </w:r>
          </w:p>
        </w:tc>
        <w:tc>
          <w:tcPr/>
          <w:p>
            <w:pPr>
              <w:pStyle w:val="Compact"/>
            </w:pPr>
            <w:r>
              <w:t xml:space="preserve">улучшение</w:t>
            </w:r>
          </w:p>
        </w:tc>
      </w:tr>
      <w:tr>
        <w:tc>
          <w:tcPr/>
          <w:p>
            <w:pPr>
              <w:pStyle w:val="Compact"/>
              <w:jc w:val="right"/>
            </w:pPr>
            <w:r>
              <w:t xml:space="preserve">2</w:t>
            </w:r>
          </w:p>
        </w:tc>
        <w:tc>
          <w:tcPr/>
          <w:p>
            <w:pPr>
              <w:pStyle w:val="Compact"/>
              <w:jc w:val="right"/>
            </w:pPr>
            <w:r>
              <w:t xml:space="preserve">38</w:t>
            </w:r>
          </w:p>
        </w:tc>
        <w:tc>
          <w:tcPr/>
          <w:p>
            <w:pPr>
              <w:pStyle w:val="Compact"/>
              <w:jc w:val="right"/>
            </w:pPr>
            <w:r>
              <w:t xml:space="preserve">0.318 / 0.301 / 0.301</w:t>
            </w:r>
          </w:p>
        </w:tc>
        <w:tc>
          <w:tcPr/>
          <w:p>
            <w:pPr>
              <w:pStyle w:val="Compact"/>
              <w:jc w:val="right"/>
            </w:pPr>
            <w:r>
              <w:t xml:space="preserve">0.907 / 0.849 / 0.849</w:t>
            </w:r>
          </w:p>
        </w:tc>
        <w:tc>
          <w:tcPr/>
          <w:p>
            <w:pPr>
              <w:pStyle w:val="Compact"/>
            </w:pPr>
            <w:r>
              <w:t xml:space="preserve">умеренно лучше</w:t>
            </w:r>
          </w:p>
        </w:tc>
      </w:tr>
      <w:tr>
        <w:tc>
          <w:tcPr/>
          <w:p>
            <w:pPr>
              <w:pStyle w:val="Compact"/>
              <w:jc w:val="right"/>
            </w:pPr>
            <w:r>
              <w:t xml:space="preserve">3</w:t>
            </w:r>
          </w:p>
        </w:tc>
        <w:tc>
          <w:tcPr/>
          <w:p>
            <w:pPr>
              <w:pStyle w:val="Compact"/>
              <w:jc w:val="right"/>
            </w:pPr>
            <w:r>
              <w:t xml:space="preserve">56</w:t>
            </w:r>
          </w:p>
        </w:tc>
        <w:tc>
          <w:tcPr/>
          <w:p>
            <w:pPr>
              <w:pStyle w:val="Compact"/>
              <w:jc w:val="right"/>
            </w:pPr>
            <w:r>
              <w:t xml:space="preserve">0.340 / 0.516 / 0.339</w:t>
            </w:r>
          </w:p>
        </w:tc>
        <w:tc>
          <w:tcPr/>
          <w:p>
            <w:pPr>
              <w:pStyle w:val="Compact"/>
              <w:jc w:val="right"/>
            </w:pPr>
            <w:r>
              <w:t xml:space="preserve">1.127 / 0.897 / 1.127</w:t>
            </w:r>
          </w:p>
        </w:tc>
        <w:tc>
          <w:tcPr/>
          <w:p>
            <w:pPr>
              <w:pStyle w:val="Compact"/>
            </w:pPr>
            <w:r>
              <w:t xml:space="preserve">WER лучше, CER хуже</w:t>
            </w:r>
          </w:p>
        </w:tc>
      </w:tr>
      <w:tr>
        <w:tc>
          <w:tcPr/>
          <w:p>
            <w:pPr>
              <w:pStyle w:val="Compact"/>
              <w:jc w:val="right"/>
            </w:pPr>
            <w:r>
              <w:t xml:space="preserve">4</w:t>
            </w:r>
          </w:p>
        </w:tc>
        <w:tc>
          <w:tcPr/>
          <w:p>
            <w:pPr>
              <w:pStyle w:val="Compact"/>
              <w:jc w:val="right"/>
            </w:pPr>
            <w:r>
              <w:t xml:space="preserve">59</w:t>
            </w:r>
          </w:p>
        </w:tc>
        <w:tc>
          <w:tcPr/>
          <w:p>
            <w:pPr>
              <w:pStyle w:val="Compact"/>
              <w:jc w:val="right"/>
            </w:pPr>
            <w:r>
              <w:t xml:space="preserve">0.298 / 0.695 / 0.297</w:t>
            </w:r>
          </w:p>
        </w:tc>
        <w:tc>
          <w:tcPr/>
          <w:p>
            <w:pPr>
              <w:pStyle w:val="Compact"/>
              <w:jc w:val="right"/>
            </w:pPr>
            <w:r>
              <w:t xml:space="preserve">0.890 / 0.973 / 0.890</w:t>
            </w:r>
          </w:p>
        </w:tc>
        <w:tc>
          <w:tcPr/>
          <w:p>
            <w:pPr>
              <w:pStyle w:val="Compact"/>
            </w:pPr>
            <w:r>
              <w:t xml:space="preserve">ByT5 портит</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0.245 / 0.518 / 0.244</w:t>
            </w:r>
          </w:p>
        </w:tc>
        <w:tc>
          <w:tcPr/>
          <w:p>
            <w:pPr>
              <w:pStyle w:val="Compact"/>
              <w:jc w:val="right"/>
            </w:pPr>
            <w:r>
              <w:t xml:space="preserve">0.807 / 0.836 / 0.807</w:t>
            </w:r>
          </w:p>
        </w:tc>
        <w:tc>
          <w:tcPr/>
          <w:p>
            <w:pPr>
              <w:pStyle w:val="Compact"/>
            </w:pPr>
            <w:r>
              <w:t xml:space="preserve">фильтрация спасает</w:t>
            </w:r>
          </w:p>
        </w:tc>
      </w:tr>
    </w:tbl>
    <w:p>
      <w:pPr>
        <w:pStyle w:val="BodyText"/>
      </w:pPr>
      <w:r>
        <w:t xml:space="preserve">Случаи 1–2 показывают, что ByT5-small иногда действительно улучшает целую страницу, но масштаб улучшения остаётся умеренным. Случай 3 показывает, почему WER нельзя интерпретировать отдельно от CER: метрика на уровне слов может улучшиться, хотя символный состав страницы ухудшается. Случаи 4–5 показывают роль варианта со строгой фильтрацией: он не делает модель сильнее, но снижает риск грубого ухудшения.</w:t>
      </w:r>
    </w:p>
    <w:p>
      <w:pPr>
        <w:pStyle w:val="BodyText"/>
      </w:pPr>
      <w:r>
        <w:t xml:space="preserve">Эти случаи уточняют общий вывод постраничного эксперимента. Модель, обученная только на синтетическом шуме, иногда переносится на реальный OCR, но часто изменяет символный состав страницы в худшую сторону. Поэтому практическое продолжение работы должно опираться не только на синтетический генератор, а на выровненные пары «OCR-вывод — эталон» и обучение на настоящих ошибках OCR.</w:t>
      </w:r>
    </w:p>
    <w:bookmarkEnd w:id="65"/>
    <w:bookmarkStart w:id="66" w:name="выводы-по-разделу-2"/>
    <w:p>
      <w:pPr>
        <w:pStyle w:val="Heading3"/>
      </w:pPr>
      <w:r>
        <w:t xml:space="preserve">5.15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метод на основе ошибок обучающей выборки. Она улучшает большинство тестовых примеров и особенно заметно снижает WER. Этот результат подтверждает, что нейросетевая посткоррекция с байтовым представлением подходит как рабочий пилотный подход для тюркского текста в арабской графике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исходный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исходным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пар «OCR-вывод — эталон» нельзя честно утверждать, что модель решает реальную задачу посткоррекции.</w:t>
      </w:r>
    </w:p>
    <w:bookmarkEnd w:id="66"/>
    <w:bookmarkEnd w:id="67"/>
    <w:bookmarkStart w:id="74" w:name="Xe8e02886c60b8939714d6e867e04f7997a20272"/>
    <w:p>
      <w:pPr>
        <w:pStyle w:val="Heading2"/>
      </w:pPr>
      <w:r>
        <w:t xml:space="preserve">6. Ограничения и направления дальнейшей работы</w:t>
      </w:r>
    </w:p>
    <w:bookmarkStart w:id="68"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пилотный набор данных,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первичная 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8"/>
    <w:bookmarkStart w:id="69" w:name="ограничения-синтетического-шума-1"/>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ошибок. Такая постановка удобна для первого эксперимента: известен эталонный текст, можно воспроизвести разбиение на обучающую, валидационную и тестовую выборки и сравнить методы по одинаковым метрикам. Но синтетические ошибки остаются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исходный OCR Tesseract. Она немного снижает WER, но ухудшает CER и NoSpaceCER относительно исходного OCR-вывода.</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ошибок, основанную на настоящих символьных путаницах и артефактах разметки страницы.</w:t>
      </w:r>
    </w:p>
    <w:bookmarkEnd w:id="69"/>
    <w:bookmarkStart w:id="70"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не полностью описывают качество исправления исторического текста. Для исторических арабографичных материалов важно не только совпадение с эталоном, но и сохранение значимых орфографических вариантов. Механическое уменьшение расстояния редактирования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100–200 строк. В такой подвыборке следует фиксировать не только «правильно/неправильно», но и тип ошибки: замену графемы, ошибку пробела, пропуск, лишнюю вставку, нормализацию исторического написания, галлюцинацию или порождение лишнего фрагмента. Это позволит связать количественные метрики с реальным качеством текста.</w:t>
      </w:r>
    </w:p>
    <w:bookmarkEnd w:id="70"/>
    <w:bookmarkStart w:id="71"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первичная проверка,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обучающую и тестовую выборки. Для маленьких исторических корпусов такая утечка может сильно завышать качество модели.</w:t>
      </w:r>
    </w:p>
    <w:bookmarkEnd w:id="71"/>
    <w:bookmarkStart w:id="72"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базовый метод,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посимвольные модели преобразования последовательностей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расстоянию редактирования, оценке языковой модели, изменению длины, доле новых символов или согласованию со статистикой символьных путаниц, извлечённой из обучающей выборки.</w:t>
      </w:r>
    </w:p>
    <w:p>
      <w:pPr>
        <w:pStyle w:val="BodyText"/>
      </w:pPr>
      <w:r>
        <w:t xml:space="preserve">Посткоррекцию на основе больших языковых моделей также стоит проверять, но не как простую «волшебную» замену. Современные работы по исправлению OCR исторических документов показывают, что большие языковые модели могут давать полезные исправления, но эффект зависит от языка, корпуса, постановки запроса и процедуры валидации. Для исторического материала особенно опасны гладкие, но неверные исправления: текст может выглядеть правдоподобно, но отходить от источника.</w:t>
      </w:r>
    </w:p>
    <w:bookmarkEnd w:id="72"/>
    <w:bookmarkStart w:id="73" w:name="Xd2b3f4092cbe1759952889362a88c4fd5e58c1d"/>
    <w:p>
      <w:pPr>
        <w:pStyle w:val="Heading3"/>
      </w:pPr>
      <w:r>
        <w:t xml:space="preserve">6.6 Переход к системе анализа исторических текстов</w:t>
      </w:r>
    </w:p>
    <w:p>
      <w:pPr>
        <w:pStyle w:val="FirstParagraph"/>
      </w:pPr>
      <w:r>
        <w:t xml:space="preserve">Посткоррекция является промежуточным этапом. После получения более надёжного OCR/HTR-вывода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выделение строк на изображении, OCR/HTR, посткоррекцию, извлечение именованных сущностей, сопоставление записей,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3"/>
    <w:bookmarkEnd w:id="74"/>
    <w:bookmarkStart w:id="75"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нормализация на правилах не является безопасной заменой нейросетевой посткоррекции. В проведённом эксперименте нормализатор ухудшил качество относительно метода без исправления.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синтетических ошибках, немного снижает WER, но ухудшает CER и NoSpaceCER относительно исходного Tesseract. Вариант со строгой фильтрацией уменьшает число ухудшенных страниц и даёт больше улучшенных страниц, но всё равно не превосходит исходный OCR по среднему CER. Значит, отрицательный результат на реальном OCR является не провалом, а полезным исследовательским выводом: обучение только на синтетических ошибках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пары «OCR-вывод — эталон»,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извлечению именованных сущностей, сопоставлению записей и построению графов связей.</w:t>
      </w:r>
    </w:p>
    <w:p>
      <w:pPr>
        <w:pStyle w:val="BodyText"/>
      </w:pPr>
      <w:r>
        <w:t xml:space="preserve">Практический результат работы — не готовый корректор, а диагностический стенд: он показывает, где синтетическая проверка даёт положительный сигнал, а где реальный OCR ломает перенос. Следующий шаг — реальные пары «OCR-вывод — эталон», разбиение по страницам или источникам и обучение на настоящих ошибках распознавания.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5"/>
    <w:bookmarkEnd w:id="76"/>
    <w:bookmarkStart w:id="77" w:name="список-литературы"/>
    <w:p>
      <w:pPr>
        <w:pStyle w:val="Heading1"/>
      </w:pPr>
      <w:r>
        <w:t xml:space="preserve">Список литературы</w:t>
      </w:r>
    </w:p>
    <w:p>
      <w:pPr>
        <w:numPr>
          <w:ilvl w:val="0"/>
          <w:numId w:val="1013"/>
        </w:numPr>
      </w:pPr>
      <w:r>
        <w:t xml:space="preserve">Vaswani A., Shazeer N., Parmar N., Uszkoreit J., Jones L., Gomez A. N., Kaiser L., Polosukhin I. Attention Is All You Need. 2017. arXiv:1706.03762. URL: https://arxiv.org/abs/1706.03762</w:t>
      </w:r>
    </w:p>
    <w:p>
      <w:pPr>
        <w:numPr>
          <w:ilvl w:val="0"/>
          <w:numId w:val="101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3"/>
        </w:numPr>
      </w:pPr>
      <w:r>
        <w:t xml:space="preserve">Xue L., Barua A., Constant N., Al-Rfou R., Narang S., Kale M., Roberts A., Raffel C. ByT5: Towards a token-free future with pre-trained byte-to-byte models. 2021. arXiv:2105.13626. URL: https://arxiv.org/abs/2105.13626</w:t>
      </w:r>
    </w:p>
    <w:p>
      <w:pPr>
        <w:numPr>
          <w:ilvl w:val="0"/>
          <w:numId w:val="1013"/>
        </w:numPr>
      </w:pPr>
      <w:r>
        <w:t xml:space="preserve">Ramirez-Orta J., Xamena E., Maguitman A., Milios E., Soto A. J. Post-OCR Document Correction with large Ensembles of Character Sequence-to-Sequence Models. 2021. arXiv:2109.06264. URL: https://arxiv.org/abs/2109.06264</w:t>
      </w:r>
    </w:p>
    <w:p>
      <w:pPr>
        <w:numPr>
          <w:ilvl w:val="0"/>
          <w:numId w:val="1013"/>
        </w:numPr>
      </w:pPr>
      <w:r>
        <w:t xml:space="preserve">Hämäläinen M., Hengchen S. From the Paft to the Fiiture: a Fully Automatic NMT and Word Embeddings Method for OCR Post-Correction. 2019. arXiv:1910.05535. URL: https://arxiv.org/abs/1910.05535</w:t>
      </w:r>
    </w:p>
    <w:p>
      <w:pPr>
        <w:numPr>
          <w:ilvl w:val="0"/>
          <w:numId w:val="1013"/>
        </w:numPr>
      </w:pPr>
      <w:r>
        <w:t xml:space="preserve">Duong Q., Hämäläinen M., Hengchen S. An Unsupervised method for OCR Post-Correction and Spelling Normalisation for Finnish. 2020. arXiv:2011.03502. URL: https://arxiv.org/abs/2011.03502</w:t>
      </w:r>
    </w:p>
    <w:p>
      <w:pPr>
        <w:numPr>
          <w:ilvl w:val="0"/>
          <w:numId w:val="1013"/>
        </w:numPr>
      </w:pPr>
      <w:r>
        <w:t xml:space="preserve">Suissa O., Elmalech A., Zhitomirsky-Geffet M. Optimizing the Neural Network Training for OCR Error Correction of Historical Hebrew Texts. 2023. arXiv:2307.16220. URL: https://arxiv.org/abs/2307.16220</w:t>
      </w:r>
    </w:p>
    <w:p>
      <w:pPr>
        <w:numPr>
          <w:ilvl w:val="0"/>
          <w:numId w:val="1013"/>
        </w:numPr>
      </w:pPr>
      <w:r>
        <w:t xml:space="preserve">Kanerva J., Ledins C., Käpyaho S., Ginter F. OCR Error Post-Correction with LLMs in Historical Documents: No Free Lunches. 2025. arXiv:2502.01205. URL: https://arxiv.org/abs/2502.01205</w:t>
      </w:r>
    </w:p>
    <w:p>
      <w:pPr>
        <w:numPr>
          <w:ilvl w:val="0"/>
          <w:numId w:val="101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3"/>
        </w:numPr>
      </w:pPr>
      <w:r>
        <w:t xml:space="preserve">Springmann U., Reul C., Dipper S., Baiter J. Ground Truth for training OCR engines on historical documents in German Fraktur and Early Modern Latin. 2018. arXiv:1809.05501. URL: https://arxiv.org/abs/1809.05501</w:t>
      </w:r>
    </w:p>
    <w:p>
      <w:pPr>
        <w:numPr>
          <w:ilvl w:val="0"/>
          <w:numId w:val="1013"/>
        </w:numPr>
      </w:pPr>
      <w:r>
        <w:t xml:space="preserve">Kasem M. S., Mahmoud M., Kang H.-S. Advancements and Challenges in Arabic Optical Character Recognition: A Comprehensive Survey. 2023. arXiv:2312.11812. URL: https://arxiv.org/abs/2312.11812</w:t>
      </w:r>
    </w:p>
    <w:p>
      <w:pPr>
        <w:numPr>
          <w:ilvl w:val="0"/>
          <w:numId w:val="1013"/>
        </w:numPr>
      </w:pPr>
      <w:r>
        <w:t xml:space="preserve">Osman H., Zaghw K., Hazem M., Elsehely S. An Efficient Language-Independent Multi-Font OCR for Arabic Script. 2020. arXiv:2009.09115. URL: https://arxiv.org/abs/2009.09115</w:t>
      </w:r>
    </w:p>
    <w:p>
      <w:pPr>
        <w:numPr>
          <w:ilvl w:val="0"/>
          <w:numId w:val="1013"/>
        </w:numPr>
      </w:pPr>
      <w:r>
        <w:t xml:space="preserve">Kirmizialtin S., Wrisley D. Automated Transcription of Non-Latin Script Periodicals: A Case Study in the Ottoman Turkish Print Archive. 2020. arXiv:2011.01139. URL: https://arxiv.org/abs/2011.01139</w:t>
      </w:r>
    </w:p>
    <w:p>
      <w:pPr>
        <w:numPr>
          <w:ilvl w:val="0"/>
          <w:numId w:val="101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3"/>
        </w:numPr>
      </w:pPr>
      <w:r>
        <w:t xml:space="preserve">Lyu L., Koutraki M., Krickl M., Fetahu B. Neural OCR Post-Hoc Correction of Historical Corpora. 2021. arXiv:2102.00583. URL: https://arxiv.org/abs/2102.00583</w:t>
      </w:r>
    </w:p>
    <w:p>
      <w:pPr>
        <w:numPr>
          <w:ilvl w:val="0"/>
          <w:numId w:val="1013"/>
        </w:numPr>
      </w:pPr>
      <w:r>
        <w:t xml:space="preserve">Rijhwani S., Rosenblum D., Anastasopoulos A., Neubig G. Lexically Aware Semi-Supervised Learning for OCR Post-Correction. 2021. arXiv:2111.02622. URL: https://arxiv.org/abs/2111.02622</w:t>
      </w:r>
    </w:p>
    <w:p>
      <w:pPr>
        <w:numPr>
          <w:ilvl w:val="0"/>
          <w:numId w:val="1013"/>
        </w:numPr>
      </w:pPr>
      <w:r>
        <w:t xml:space="preserve">Naiman J. P., Cosillo M. G., Williams P. K. G., Goodman A. Large Synthetic Data from the arXiv for OCR Post Correction of Historic Scientific Articles. 2023. arXiv:2309.11549. URL: https://arxiv.org/abs/2309.11549</w:t>
      </w:r>
    </w:p>
    <w:p>
      <w:pPr>
        <w:numPr>
          <w:ilvl w:val="0"/>
          <w:numId w:val="1013"/>
        </w:numPr>
      </w:pPr>
      <w:r>
        <w:t xml:space="preserve">Guan S., Greene D. Advancing Post-OCR Correction: A Comparative Study of Synthetic Data. 2024. arXiv:2408.02253. URL: https://arxiv.org/abs/2408.02253</w:t>
      </w:r>
    </w:p>
    <w:p>
      <w:pPr>
        <w:numPr>
          <w:ilvl w:val="0"/>
          <w:numId w:val="1013"/>
        </w:numPr>
      </w:pPr>
      <w:r>
        <w:t xml:space="preserve">Kashid H., Bhattacharyya P. RoundTripOCR: A Data Generation Technique for Enhancing Post-OCR Error Correction in Low-Resource Devanagari Languages. 2024. arXiv:2412.15248. URL: https://arxiv.org/abs/2412.15248</w:t>
      </w:r>
    </w:p>
    <w:p>
      <w:pPr>
        <w:numPr>
          <w:ilvl w:val="0"/>
          <w:numId w:val="1013"/>
        </w:numPr>
      </w:pPr>
      <w:r>
        <w:t xml:space="preserve">Li M., Lv T., Chen J., Cui L., Lu Y., Florencio D., Zhang C., Li Z., Wei F. TrOCR: Transformer-based Optical Character Recognition with Pre-trained Models. 2021. arXiv:2109.10282. URL: https://arxiv.org/abs/2109.10282</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2026-06-25T01:27:26Z</dcterms:created>
  <dcterms:modified xsi:type="dcterms:W3CDTF">2026-06-25T01:27:26Z</dcterms:modified>
</cp:coreProperties>
</file>

<file path=docProps/custom.xml><?xml version="1.0" encoding="utf-8"?>
<Properties xmlns="http://schemas.openxmlformats.org/officeDocument/2006/custom-properties" xmlns:vt="http://schemas.openxmlformats.org/officeDocument/2006/docPropsVTypes"/>
</file>