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BE3E3">
      <w:pPr>
        <w:spacing w:after="3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44"/>
        </w:rPr>
        <w:t>Lite 参数与烧录手册</w:t>
      </w:r>
    </w:p>
    <w:p w14:paraId="112E9A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Lite 固件文件：</w:t>
      </w:r>
    </w:p>
    <w:p w14:paraId="79FCC4C5">
      <w:pPr>
        <w:pStyle w:val="16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lite/Arduino UNO例程/xy_orp_arduino/xy_orp_arduino.ino</w:t>
      </w:r>
    </w:p>
    <w:p w14:paraId="3CF07FC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 xml:space="preserve">本手册与上面的一个 </w:t>
      </w:r>
      <w:r>
        <w:rPr>
          <w:rFonts w:hint="eastAsia" w:ascii="黑体" w:hAnsi="黑体" w:eastAsia="黑体" w:cs="黑体"/>
          <w:color w:val="606E7B"/>
          <w:sz w:val="19"/>
        </w:rPr>
        <w:t>.ino</w:t>
      </w:r>
      <w:r>
        <w:rPr>
          <w:rFonts w:hint="eastAsia" w:ascii="黑体" w:hAnsi="黑体" w:eastAsia="黑体" w:cs="黑体"/>
          <w:sz w:val="21"/>
        </w:rPr>
        <w:t xml:space="preserve"> 是 Lite 的两项正式交付。目录中的接线图和结果图片是用户原有素材，请保留。</w:t>
      </w:r>
    </w:p>
    <w:p w14:paraId="19AABF6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这两个 Lite 交付文件均使用 UTF-8（无 BOM）编码，可直接用 Arduino IDE 2.x 打开。</w:t>
      </w:r>
    </w:p>
    <w:p w14:paraId="3F54F0D9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接线</w:t>
      </w:r>
    </w:p>
    <w:p w14:paraId="62FB1C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Lite 与完整版接线完全相同：</w:t>
      </w:r>
    </w:p>
    <w:tbl>
      <w:tblPr>
        <w:tblStyle w:val="33"/>
        <w:tblW w:w="10380" w:type="dxa"/>
        <w:jc w:val="center"/>
        <w:tblBorders>
          <w:top w:val="none" w:color="D9E2EC" w:sz="6" w:space="0"/>
          <w:left w:val="none" w:color="D9E2EC" w:sz="6" w:space="0"/>
          <w:bottom w:val="none" w:color="D9E2EC" w:sz="6" w:space="0"/>
          <w:right w:val="none" w:color="D9E2EC" w:sz="6" w:space="0"/>
          <w:insideH w:val="none" w:color="D9E2EC" w:sz="6" w:space="0"/>
          <w:insideV w:val="non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4"/>
        <w:gridCol w:w="5106"/>
      </w:tblGrid>
      <w:tr w14:paraId="3D6F1C66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5E5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功能</w:t>
            </w:r>
          </w:p>
        </w:tc>
        <w:tc>
          <w:tcPr>
            <w:tcW w:w="510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EAF2F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324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ArduinoUno引脚</w:t>
            </w:r>
          </w:p>
        </w:tc>
      </w:tr>
      <w:tr w14:paraId="44107295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92D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ORP 模块软件串口</w:t>
            </w:r>
          </w:p>
        </w:tc>
        <w:tc>
          <w:tcPr>
            <w:tcW w:w="510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755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D2/D3</w:t>
            </w:r>
          </w:p>
        </w:tc>
      </w:tr>
      <w:tr w14:paraId="2553A5E7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1A6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启动按钮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CE5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D4</w:t>
            </w:r>
          </w:p>
        </w:tc>
      </w:tr>
      <w:tr w14:paraId="36C12E2D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D87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碱泵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265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D13</w:t>
            </w:r>
          </w:p>
        </w:tc>
      </w:tr>
      <w:tr w14:paraId="7E46550A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42B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酸泵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1D1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D12</w:t>
            </w:r>
          </w:p>
        </w:tc>
      </w:tr>
      <w:tr w14:paraId="013FC935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F2C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水泵</w:t>
            </w: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ADB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D11</w:t>
            </w:r>
          </w:p>
        </w:tc>
      </w:tr>
      <w:tr w14:paraId="5E4494D3">
        <w:tblPrEx>
          <w:tblBorders>
            <w:top w:val="none" w:color="D9E2EC" w:sz="6" w:space="0"/>
            <w:left w:val="none" w:color="D9E2EC" w:sz="6" w:space="0"/>
            <w:bottom w:val="none" w:color="D9E2EC" w:sz="6" w:space="0"/>
            <w:right w:val="none" w:color="D9E2EC" w:sz="6" w:space="0"/>
            <w:insideH w:val="none" w:color="D9E2EC" w:sz="6" w:space="0"/>
            <w:insideV w:val="non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7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9203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OLED I2C</w:t>
            </w:r>
          </w:p>
        </w:tc>
        <w:tc>
          <w:tcPr>
            <w:tcW w:w="51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8FAFC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4FD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sz w:val="24"/>
                <w:szCs w:val="24"/>
              </w:rPr>
              <w:t>A4/A5</w:t>
            </w:r>
          </w:p>
        </w:tc>
      </w:tr>
    </w:tbl>
    <w:p w14:paraId="11E1D245">
      <w:pPr>
        <w:rPr>
          <w:rFonts w:hint="eastAsia" w:ascii="黑体" w:hAnsi="黑体" w:eastAsia="黑体" w:cs="黑体"/>
        </w:rPr>
      </w:pPr>
    </w:p>
    <w:p w14:paraId="5B37B4E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继电器按现有固件使用高电平启动。上电初始化和配置错误状态下，三路泵均保持关闭。</w:t>
      </w:r>
    </w:p>
    <w:p w14:paraId="23EB1CDC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配置位置</w:t>
      </w:r>
    </w:p>
    <w:p w14:paraId="3FF5C8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 xml:space="preserve">用 Arduino IDE 打开 Lite </w:t>
      </w:r>
      <w:r>
        <w:rPr>
          <w:rFonts w:hint="eastAsia" w:ascii="黑体" w:hAnsi="黑体" w:eastAsia="黑体" w:cs="黑体"/>
          <w:color w:val="606E7B"/>
          <w:sz w:val="19"/>
        </w:rPr>
        <w:t>.ino</w:t>
      </w:r>
      <w:r>
        <w:rPr>
          <w:rFonts w:hint="eastAsia" w:ascii="黑体" w:hAnsi="黑体" w:eastAsia="黑体" w:cs="黑体"/>
          <w:sz w:val="21"/>
        </w:rPr>
        <w:t>，只编辑文件最顶部：</w:t>
      </w:r>
    </w:p>
    <w:p w14:paraId="182D375E">
      <w:pPr>
        <w:pStyle w:val="16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Lite 用户配置区：只修改本区参数</w:t>
      </w:r>
    </w:p>
    <w:p w14:paraId="43D0CB9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仓库中的参数只是编译示例，不是设备实测值。完成泵流量与 pH 标定、填写真实参数后，必须把：</w:t>
      </w:r>
    </w:p>
    <w:p w14:paraId="50701C53">
      <w:pPr>
        <w:pStyle w:val="16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const bool LITE_CONFIGURED = false;</w:t>
      </w:r>
    </w:p>
    <w:p w14:paraId="128E39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改为：</w:t>
      </w:r>
    </w:p>
    <w:p w14:paraId="784CEA39">
      <w:pPr>
        <w:pStyle w:val="16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const bool LITE_CONFIGURED = true;</w:t>
      </w:r>
    </w:p>
    <w:p w14:paraId="4795FA5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 xml:space="preserve">否则固件会显示并输出 </w:t>
      </w:r>
      <w:r>
        <w:rPr>
          <w:rFonts w:hint="eastAsia" w:ascii="黑体" w:hAnsi="黑体" w:eastAsia="黑体" w:cs="黑体"/>
          <w:color w:val="606E7B"/>
          <w:sz w:val="19"/>
        </w:rPr>
        <w:t>CONFIG ERROR</w:t>
      </w:r>
      <w:r>
        <w:rPr>
          <w:rFonts w:hint="eastAsia" w:ascii="黑体" w:hAnsi="黑体" w:eastAsia="黑体" w:cs="黑体"/>
          <w:sz w:val="21"/>
        </w:rPr>
        <w:t>，禁止三路泵、测量流程和 D4 启动。</w:t>
      </w:r>
    </w:p>
    <w:p w14:paraId="59BC16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090A7CD6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参数与单位</w:t>
      </w:r>
    </w:p>
    <w:tbl>
      <w:tblPr>
        <w:tblStyle w:val="33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320"/>
        <w:gridCol w:w="1800"/>
      </w:tblGrid>
      <w:tr w14:paraId="606E625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31FD27C4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9"/>
              </w:rPr>
              <w:t>参数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1A1B5DC4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9"/>
              </w:rPr>
              <w:t>含义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0DAE7230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9"/>
              </w:rPr>
              <w:t>单位</w:t>
            </w:r>
          </w:p>
        </w:tc>
      </w:tr>
      <w:tr w14:paraId="2FDB057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6193A0B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CFG_BASE_PUMP_FLOW_ML_S</w:t>
            </w:r>
          </w:p>
        </w:tc>
        <w:tc>
          <w:tcPr>
            <w:tcW w:w="4320" w:type="dxa"/>
            <w:vAlign w:val="center"/>
          </w:tcPr>
          <w:p w14:paraId="20345481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碱泵流速</w:t>
            </w:r>
          </w:p>
        </w:tc>
        <w:tc>
          <w:tcPr>
            <w:tcW w:w="1800" w:type="dxa"/>
            <w:vAlign w:val="center"/>
          </w:tcPr>
          <w:p w14:paraId="32062D9F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mL/s</w:t>
            </w:r>
          </w:p>
        </w:tc>
      </w:tr>
      <w:tr w14:paraId="4CEBC7A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55A58F1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CFG_ACID_PUMP_FLOW_ML_S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5456360F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酸泵流速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77350EF9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mL/s</w:t>
            </w:r>
          </w:p>
        </w:tc>
      </w:tr>
      <w:tr w14:paraId="4B44647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4DE1AF5B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CFG_WATER_PUMP_FLOW_ML_S</w:t>
            </w:r>
          </w:p>
        </w:tc>
        <w:tc>
          <w:tcPr>
            <w:tcW w:w="4320" w:type="dxa"/>
            <w:vAlign w:val="center"/>
          </w:tcPr>
          <w:p w14:paraId="151ABBC7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水泵流速</w:t>
            </w:r>
          </w:p>
        </w:tc>
        <w:tc>
          <w:tcPr>
            <w:tcW w:w="1800" w:type="dxa"/>
            <w:vAlign w:val="center"/>
          </w:tcPr>
          <w:p w14:paraId="5B78E14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mL/s</w:t>
            </w:r>
          </w:p>
        </w:tc>
      </w:tr>
      <w:tr w14:paraId="7C484F4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13B1BF26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CFG_PH_SLOPE_PH_PER_MV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0714BD62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 线性换算斜率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1B2CCAD2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pH/mV</w:t>
            </w:r>
          </w:p>
        </w:tc>
      </w:tr>
      <w:tr w14:paraId="44E9CD1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F89AE8A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CFG_PH_INTERCEPT_PH</w:t>
            </w:r>
          </w:p>
        </w:tc>
        <w:tc>
          <w:tcPr>
            <w:tcW w:w="4320" w:type="dxa"/>
            <w:vAlign w:val="center"/>
          </w:tcPr>
          <w:p w14:paraId="36168384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 线性换算截距</w:t>
            </w:r>
          </w:p>
        </w:tc>
        <w:tc>
          <w:tcPr>
            <w:tcW w:w="1800" w:type="dxa"/>
            <w:vAlign w:val="center"/>
          </w:tcPr>
          <w:p w14:paraId="00087F1E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</w:t>
            </w:r>
          </w:p>
        </w:tc>
      </w:tr>
      <w:tr w14:paraId="69545B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5A4589C0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CFG_ACID_CONCENTRATION_MOL_L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2B16B3A0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酸浓度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21361CB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mol/L</w:t>
            </w:r>
          </w:p>
        </w:tc>
      </w:tr>
      <w:tr w14:paraId="504496C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0C5B06DA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CFG_SAMPLE_VOLUME_ML</w:t>
            </w:r>
          </w:p>
        </w:tc>
        <w:tc>
          <w:tcPr>
            <w:tcW w:w="4320" w:type="dxa"/>
            <w:vAlign w:val="center"/>
          </w:tcPr>
          <w:p w14:paraId="2F6870D9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样品体积</w:t>
            </w:r>
          </w:p>
        </w:tc>
        <w:tc>
          <w:tcPr>
            <w:tcW w:w="1800" w:type="dxa"/>
            <w:vAlign w:val="center"/>
          </w:tcPr>
          <w:p w14:paraId="39CD57E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mL</w:t>
            </w:r>
          </w:p>
        </w:tc>
      </w:tr>
      <w:tr w14:paraId="4A1A833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69F20CD5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CFG_TARGET_PH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0D730B36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普通滴定目标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3F57ACAE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</w:t>
            </w:r>
          </w:p>
        </w:tc>
      </w:tr>
      <w:tr w14:paraId="5392D08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F5616D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CFG_TRIGGER_PH</w:t>
            </w:r>
          </w:p>
        </w:tc>
        <w:tc>
          <w:tcPr>
            <w:tcW w:w="4320" w:type="dxa"/>
            <w:vAlign w:val="center"/>
          </w:tcPr>
          <w:p w14:paraId="31713D62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普通流程触发值</w:t>
            </w:r>
          </w:p>
        </w:tc>
        <w:tc>
          <w:tcPr>
            <w:tcW w:w="1800" w:type="dxa"/>
            <w:vAlign w:val="center"/>
          </w:tcPr>
          <w:p w14:paraId="7CD0D85A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</w:t>
            </w:r>
          </w:p>
        </w:tc>
      </w:tr>
      <w:tr w14:paraId="2927664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3E8ECE14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CFG_TOLERANCE_PH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354C9490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目标容差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2B3D5B4F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pH</w:t>
            </w:r>
          </w:p>
        </w:tc>
      </w:tr>
      <w:tr w14:paraId="6F5443C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D93BB24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CFG_MIX_SECONDS</w:t>
            </w:r>
          </w:p>
        </w:tc>
        <w:tc>
          <w:tcPr>
            <w:tcW w:w="4320" w:type="dxa"/>
            <w:vAlign w:val="center"/>
          </w:tcPr>
          <w:p w14:paraId="5DF2F1DF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每次滴加后的混合时间</w:t>
            </w:r>
          </w:p>
        </w:tc>
        <w:tc>
          <w:tcPr>
            <w:tcW w:w="1800" w:type="dxa"/>
            <w:vAlign w:val="center"/>
          </w:tcPr>
          <w:p w14:paraId="2E98054D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s</w:t>
            </w:r>
          </w:p>
        </w:tc>
      </w:tr>
      <w:tr w14:paraId="1C16466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4BEDCC4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CFG_TITRATION_DIRECTION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3D21A118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滴定方向，0 加碱、1 加酸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2F4CB161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无量纲</w:t>
            </w:r>
          </w:p>
        </w:tc>
      </w:tr>
      <w:tr w14:paraId="6D91161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D72968E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CFG_KV</w:t>
            </w:r>
          </w:p>
        </w:tc>
        <w:tc>
          <w:tcPr>
            <w:tcW w:w="4320" w:type="dxa"/>
            <w:vAlign w:val="center"/>
          </w:tcPr>
          <w:p w14:paraId="0153D5ED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VFA 最终结果校正系数</w:t>
            </w:r>
          </w:p>
        </w:tc>
        <w:tc>
          <w:tcPr>
            <w:tcW w:w="1800" w:type="dxa"/>
            <w:vAlign w:val="center"/>
          </w:tcPr>
          <w:p w14:paraId="788DF54F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无量纲</w:t>
            </w:r>
          </w:p>
        </w:tc>
      </w:tr>
      <w:tr w14:paraId="6DB80E2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04FE1B02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CFG_KA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41008329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ALK 最终结果校正系数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56065932">
            <w:pPr>
              <w:spacing w:before="0" w:after="0" w:line="259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8"/>
              </w:rPr>
              <w:t>无量纲</w:t>
            </w:r>
          </w:p>
        </w:tc>
      </w:tr>
    </w:tbl>
    <w:p w14:paraId="0CBA4E45">
      <w:pPr>
        <w:rPr>
          <w:rFonts w:hint="eastAsia" w:ascii="黑体" w:hAnsi="黑体" w:eastAsia="黑体" w:cs="黑体"/>
        </w:rPr>
      </w:pPr>
    </w:p>
    <w:p w14:paraId="71EEC78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顶部还提供 VFA/ALK 流程参数：起始 pH 门槛、两阶段目标 pH、稳定性范围、观察时间、总超时和空白修正。没有明确工艺依据时不要修改。</w:t>
      </w:r>
    </w:p>
    <w:p w14:paraId="3627B9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606E7B"/>
          <w:sz w:val="19"/>
        </w:rPr>
        <w:t>CFG_KV</w:t>
      </w:r>
      <w:r>
        <w:rPr>
          <w:rFonts w:hint="eastAsia" w:ascii="黑体" w:hAnsi="黑体" w:eastAsia="黑体" w:cs="黑体"/>
          <w:sz w:val="21"/>
        </w:rPr>
        <w:t xml:space="preserve"> 和 </w:t>
      </w:r>
      <w:r>
        <w:rPr>
          <w:rFonts w:hint="eastAsia" w:ascii="黑体" w:hAnsi="黑体" w:eastAsia="黑体" w:cs="黑体"/>
          <w:color w:val="606E7B"/>
          <w:sz w:val="19"/>
        </w:rPr>
        <w:t>CFG_KA</w:t>
      </w:r>
      <w:r>
        <w:rPr>
          <w:rFonts w:hint="eastAsia" w:ascii="黑体" w:hAnsi="黑体" w:eastAsia="黑体" w:cs="黑体"/>
          <w:sz w:val="21"/>
        </w:rPr>
        <w:t xml:space="preserve"> 默认均为 </w:t>
      </w:r>
      <w:r>
        <w:rPr>
          <w:rFonts w:hint="eastAsia" w:ascii="黑体" w:hAnsi="黑体" w:eastAsia="黑体" w:cs="黑体"/>
          <w:color w:val="606E7B"/>
          <w:sz w:val="19"/>
        </w:rPr>
        <w:t>1.0</w:t>
      </w:r>
      <w:r>
        <w:rPr>
          <w:rFonts w:hint="eastAsia" w:ascii="黑体" w:hAnsi="黑体" w:eastAsia="黑体" w:cs="黑体"/>
          <w:sz w:val="21"/>
        </w:rPr>
        <w:t>，此时最终结果等于原公式结果。修改后，OLED 与串口输出的 VFA/ALK 都会应用对应系数。</w:t>
      </w:r>
    </w:p>
    <w:p w14:paraId="28DD12D8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参数来源</w:t>
      </w:r>
      <w:bookmarkStart w:id="0" w:name="_GoBack"/>
      <w:bookmarkEnd w:id="0"/>
    </w:p>
    <w:p w14:paraId="643770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Lite 不提供上位机参数下发、串口写参数、泵流量标定、预充液或 PC 启动命令。</w:t>
      </w:r>
    </w:p>
    <w:p w14:paraId="2A2C9C90">
      <w:pPr>
        <w:pStyle w:val="16"/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泵流速必须在固件外部实测：</w:t>
      </w:r>
      <w:r>
        <w:rPr>
          <w:rFonts w:hint="eastAsia" w:ascii="黑体" w:hAnsi="黑体" w:eastAsia="黑体" w:cs="黑体"/>
          <w:color w:val="606E7B"/>
          <w:sz w:val="19"/>
        </w:rPr>
        <w:t>实际体积 ÷ 实际运行时间</w:t>
      </w:r>
      <w:r>
        <w:rPr>
          <w:rFonts w:hint="eastAsia" w:ascii="黑体" w:hAnsi="黑体" w:eastAsia="黑体" w:cs="黑体"/>
          <w:sz w:val="21"/>
        </w:rPr>
        <w:t>。</w:t>
      </w:r>
    </w:p>
    <w:p w14:paraId="03362803">
      <w:pPr>
        <w:pStyle w:val="16"/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pH slope/intercept 必须来自本机电极和模块的标准缓冲液标定。</w:t>
      </w:r>
    </w:p>
    <w:p w14:paraId="3B896269">
      <w:pPr>
        <w:pStyle w:val="16"/>
        <w:spacing w:after="8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酸浓度和样品体积必须按实际实验条件填写。</w:t>
      </w:r>
    </w:p>
    <w:p w14:paraId="21B0A4B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不要把仓库示例值直接用于真实加药或样品测量。</w:t>
      </w:r>
    </w:p>
    <w:p w14:paraId="2B12B808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Arduino IDE 验证与上传</w:t>
      </w:r>
    </w:p>
    <w:p w14:paraId="102088E7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1.  打开 lite/Arduino UNO例程/xy_orp_arduino/xy_orp_arduino.ino。</w:t>
      </w:r>
    </w:p>
    <w:p w14:paraId="367FE698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2.  填写真实参数，并将 LITE_CONFIGURED 改为 true。</w:t>
      </w:r>
    </w:p>
    <w:p w14:paraId="068BE60F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3.  选择开发板 Arduino Uno。</w:t>
      </w:r>
    </w:p>
    <w:p w14:paraId="69D309BC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4.  选择设备对应串口。</w:t>
      </w:r>
    </w:p>
    <w:p w14:paraId="7379BC75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5.  点击“验证”，确认编译成功。</w:t>
      </w:r>
    </w:p>
    <w:p w14:paraId="10DDFE71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6.  点击“上传”，等待烧录完成后重新上电。</w:t>
      </w:r>
    </w:p>
    <w:p w14:paraId="22D615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 xml:space="preserve">非法、非有限或越界参数不会启动流程。OLED 显示 </w:t>
      </w:r>
      <w:r>
        <w:rPr>
          <w:rFonts w:hint="eastAsia" w:ascii="黑体" w:hAnsi="黑体" w:eastAsia="黑体" w:cs="黑体"/>
          <w:color w:val="606E7B"/>
          <w:sz w:val="19"/>
        </w:rPr>
        <w:t>CONFIG ERROR</w:t>
      </w:r>
      <w:r>
        <w:rPr>
          <w:rFonts w:hint="eastAsia" w:ascii="黑体" w:hAnsi="黑体" w:eastAsia="黑体" w:cs="黑体"/>
          <w:sz w:val="21"/>
        </w:rPr>
        <w:t>，串口给出错误字段，三路泵保持关闭。</w:t>
      </w:r>
    </w:p>
    <w:p w14:paraId="5AAF6CB2">
      <w:pPr>
        <w:keepNext/>
        <w:spacing w:before="2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C355E"/>
          <w:sz w:val="28"/>
        </w:rPr>
        <w:t>脱机操作</w:t>
      </w:r>
    </w:p>
    <w:p w14:paraId="40ECBD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有效配置上电后无需连接 PC：</w:t>
      </w:r>
    </w:p>
    <w:p w14:paraId="1F3A8F19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1.  OLED 显示待机页。</w:t>
      </w:r>
    </w:p>
    <w:p w14:paraId="5D2A66B2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2.  确认使用未经普通 pH 调节的原始样品。</w:t>
      </w:r>
    </w:p>
    <w:p w14:paraId="4CD6C7FC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3.  空闲时按一次 D4，直接启动完整 VFA/ALK 两阶段流程。</w:t>
      </w:r>
    </w:p>
    <w:p w14:paraId="30E1E0B0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4.  观察 PH0、第一阶段 V1、第二阶段 V2。</w:t>
      </w:r>
    </w:p>
    <w:p w14:paraId="130FE6C7">
      <w:pPr>
        <w:spacing w:after="80"/>
        <w:ind w:left="403" w:hanging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5.  完成页显示 PH0/V1/V2/VFA/ALK。</w:t>
      </w:r>
    </w:p>
    <w:p w14:paraId="2FCF09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 xml:space="preserve">测量过程中出现错误或超时会立即停泵。完成页再次按 </w:t>
      </w:r>
      <w:r>
        <w:rPr>
          <w:rFonts w:hint="eastAsia" w:ascii="黑体" w:hAnsi="黑体" w:eastAsia="黑体" w:cs="黑体"/>
          <w:color w:val="606E7B"/>
          <w:sz w:val="19"/>
        </w:rPr>
        <w:t>D4</w:t>
      </w:r>
      <w:r>
        <w:rPr>
          <w:rFonts w:hint="eastAsia" w:ascii="黑体" w:hAnsi="黑体" w:eastAsia="黑体" w:cs="黑体"/>
          <w:sz w:val="21"/>
        </w:rPr>
        <w:t xml:space="preserve"> 返回待机。</w:t>
      </w:r>
    </w:p>
    <w:sectPr>
      <w:footerReference r:id="rId5" w:type="default"/>
      <w:pgSz w:w="12240" w:h="15840"/>
      <w:pgMar w:top="1037" w:right="1037" w:bottom="1037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4EBDE">
    <w:pPr>
      <w:pStyle w:val="24"/>
      <w:jc w:val="center"/>
    </w:pPr>
    <w:r>
      <w:rPr>
        <w:rFonts w:ascii="Arial" w:hAnsi="Arial" w:eastAsia="Noto Sans CJK SC"/>
        <w:color w:val="787878"/>
        <w:sz w:val="17"/>
      </w:rPr>
      <w:t>Lite 参数与烧录手册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5E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" w:hAnsi="Arial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160"/>
      <w:outlineLvl w:val="0"/>
    </w:pPr>
    <w:rPr>
      <w:rFonts w:asciiTheme="majorHAnsi" w:hAnsiTheme="majorHAnsi" w:eastAsiaTheme="majorEastAsia" w:cstheme="majorBidi"/>
      <w:b/>
      <w:bCs/>
      <w:color w:val="1C355E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60"/>
      <w:outlineLvl w:val="1"/>
    </w:pPr>
    <w:rPr>
      <w:rFonts w:asciiTheme="majorHAnsi" w:hAnsiTheme="majorHAnsi" w:eastAsiaTheme="majorEastAsia" w:cstheme="majorBidi"/>
      <w:b/>
      <w:bCs/>
      <w:color w:val="1C355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60"/>
      <w:outlineLvl w:val="2"/>
    </w:pPr>
    <w:rPr>
      <w:rFonts w:asciiTheme="majorHAnsi" w:hAnsiTheme="majorHAnsi" w:eastAsiaTheme="majorEastAsia" w:cstheme="majorBidi"/>
      <w:b/>
      <w:bCs/>
      <w:color w:val="1C355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3F6F9"/>
      <w:spacing w:before="80" w:after="120" w:line="252" w:lineRule="auto"/>
      <w:ind w:left="216" w:right="216"/>
    </w:pPr>
    <w:rPr>
      <w:rFonts w:ascii="DejaVu Sans Mono" w:hAnsi="DejaVu Sans Mono" w:eastAsia="Noto Sans CJK SC" w:cstheme="minorBidi"/>
      <w:color w:val="212529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785</Words>
  <Characters>1385</Characters>
  <Lines>0</Lines>
  <Paragraphs>0</Paragraphs>
  <TotalTime>0</TotalTime>
  <ScaleCrop>false</ScaleCrop>
  <LinksUpToDate>false</LinksUpToDate>
  <CharactersWithSpaces>1474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膜法科</dc:creator>
  <dc:description>generated by python-docx</dc:description>
  <cp:lastModifiedBy>膜法科</cp:lastModifiedBy>
  <dcterms:modified xsi:type="dcterms:W3CDTF">2026-06-14T14:01:23Z</dcterms:modified>
  <dc:subject>Lite firmware parameters and flashing manual</dc:subject>
  <dc:title>Lite 参数与烧录手册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eyJoZGlkIjoiZGI4ZmIxMjcxZDVhYTM2YzI5ZjI0YzgzMGYzMjYxNjUiLCJ1c2VySWQiOiI1NzI2Mjk1ODMifQ==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25F46F6BE5074D3180077C38F051AAD2_12</vt:lpwstr>
  </property>
</Properties>
</file>