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F3C" w:val="clear"/>
            <w:tcMar>
              <w:top w:type="dxa" w:w="500"/>
              <w:left w:type="dxa" w:w="400"/>
              <w:bottom w:type="dxa" w:w="500"/>
              <w:right w:type="dxa" w:w="400"/>
            </w:tcMar>
          </w:tcPr>
          <w:p>
            <w:pPr>
              <w:spacing w:after="60" w:before="0"/>
              <w:jc w:val="center"/>
            </w:pPr>
            <w:r>
              <w:rPr>
                <w:rFonts w:ascii="Arial" w:cs="Arial" w:eastAsia="Arial" w:hAnsi="Arial"/>
                <w:b/>
                <w:bCs/>
                <w:color w:val="FFFFFF"/>
                <w:sz w:val="64"/>
                <w:szCs w:val="64"/>
              </w:rPr>
              <w:t xml:space="preserve">CoreFinance360</w:t>
            </w:r>
          </w:p>
          <w:p>
            <w:pPr>
              <w:spacing w:after="60" w:before="0"/>
              <w:jc w:val="center"/>
            </w:pPr>
            <w:r>
              <w:rPr>
                <w:rFonts w:ascii="Arial" w:cs="Arial" w:eastAsia="Arial" w:hAnsi="Arial"/>
                <w:b/>
                <w:bCs/>
                <w:color w:val="60A5FA"/>
                <w:sz w:val="40"/>
                <w:szCs w:val="40"/>
              </w:rPr>
              <w:t xml:space="preserve">CF360</w:t>
            </w:r>
          </w:p>
          <w:p>
            <w:pPr>
              <w:spacing w:after="80" w:before="0"/>
              <w:jc w:val="center"/>
            </w:pPr>
            <w:r>
              <w:rPr>
                <w:rFonts w:ascii="Arial" w:cs="Arial" w:eastAsia="Arial" w:hAnsi="Arial"/>
                <w:b/>
                <w:bCs/>
                <w:color w:val="E0E8FF"/>
                <w:sz w:val="32"/>
                <w:szCs w:val="32"/>
              </w:rPr>
              <w:t xml:space="preserve">Guide Complet de Test</w:t>
            </w:r>
          </w:p>
          <w:p>
            <w:pPr>
              <w:spacing w:after="60" w:before="0"/>
              <w:jc w:val="center"/>
            </w:pPr>
            <w:r>
              <w:rPr>
                <w:rFonts w:ascii="Arial" w:cs="Arial" w:eastAsia="Arial" w:hAnsi="Arial"/>
                <w:i/>
                <w:iCs/>
                <w:color w:val="AAAAAA"/>
                <w:sz w:val="20"/>
                <w:szCs w:val="20"/>
              </w:rPr>
              <w:t xml:space="preserve">10 Scénarios de Test de Bout en Bout — Tous les Rôles · Tous les Pays · Tous les Workflows</w:t>
            </w:r>
          </w:p>
          <w:p>
            <w:pPr>
              <w:spacing w:after="0" w:before="100"/>
              <w:jc w:val="center"/>
            </w:pPr>
            <w:r>
              <w:rPr>
                <w:rFonts w:ascii="Arial" w:cs="Arial" w:eastAsia="Arial" w:hAnsi="Arial"/>
                <w:color w:val="666666"/>
                <w:sz w:val="17"/>
                <w:szCs w:val="17"/>
              </w:rPr>
              <w:t xml:space="preserve">Construit par Therence Ngoa  ·  Mai 2026  ·  Plateforme Bancaire BCEAO/CEMAC</w:t>
            </w:r>
          </w:p>
        </w:tc>
      </w:tr>
    </w:tbl>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1800"/>
        <w:gridCol w:w="1000"/>
        <w:gridCol w:w="1200"/>
        <w:gridCol w:w="1200"/>
        <w:gridCol w:w="800"/>
        <w:gridCol w:w="1560"/>
      </w:tblGrid>
      <w:tr>
        <w:tc>
          <w:tcPr>
            <w:tcW w:type="dxa" w:w="4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center"/>
            </w:pPr>
            <w:r>
              <w:rPr>
                <w:rFonts w:ascii="Arial" w:cs="Arial" w:eastAsia="Arial" w:hAnsi="Arial"/>
                <w:b/>
                <w:bCs/>
                <w:i w:val="false"/>
                <w:iCs w:val="false"/>
                <w:color w:val="FFFFFF"/>
                <w:sz w:val="19"/>
                <w:szCs w:val="19"/>
              </w:rPr>
              <w:t xml:space="preserve">Test</w:t>
            </w:r>
          </w:p>
        </w:tc>
        <w:tc>
          <w:tcPr>
            <w:tcW w:type="dxa" w:w="14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Scénario</w:t>
            </w:r>
          </w:p>
        </w:tc>
        <w:tc>
          <w:tcPr>
            <w:tcW w:type="dxa" w:w="18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Rôle</w:t>
            </w:r>
          </w:p>
        </w:tc>
        <w:tc>
          <w:tcPr>
            <w:tcW w:type="dxa" w:w="10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Pays</w:t>
            </w:r>
          </w:p>
        </w:tc>
        <w:tc>
          <w:tcPr>
            <w:tcW w:type="dxa" w:w="12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Devise</w:t>
            </w:r>
          </w:p>
        </w:tc>
        <w:tc>
          <w:tcPr>
            <w:tcW w:type="dxa" w:w="12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Montant</w:t>
            </w:r>
          </w:p>
        </w:tc>
        <w:tc>
          <w:tcPr>
            <w:tcW w:type="dxa" w:w="8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Approbation</w:t>
            </w:r>
          </w:p>
        </w:tc>
        <w:tc>
          <w:tcPr>
            <w:tcW w:type="dxa" w:w="156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Test Clé</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center"/>
            </w:pPr>
            <w:r>
              <w:rPr>
                <w:rFonts w:ascii="Arial" w:cs="Arial" w:eastAsia="Arial" w:hAnsi="Arial"/>
                <w:b/>
                <w:bCs/>
                <w:i w:val="false"/>
                <w:iCs w:val="false"/>
                <w:color w:val="1A56DB"/>
                <w:sz w:val="19"/>
                <w:szCs w:val="19"/>
              </w:rPr>
              <w:t xml:space="preserve">T-01</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Enregistrement Emprunteur</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Chargé de Relation</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Sénégal</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XOF</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N/A</w:t>
            </w:r>
          </w:p>
        </w:tc>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N/A</w:t>
            </w:r>
          </w:p>
        </w:tc>
        <w:tc>
          <w:tcPr>
            <w:tcW w:type="dxa" w:w="1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Création Compte + cascade devise</w:t>
            </w:r>
          </w:p>
        </w:tc>
      </w:tr>
      <w:tr>
        <w:tc>
          <w:tcPr>
            <w:tcW w:type="dxa" w:w="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center"/>
            </w:pPr>
            <w:r>
              <w:rPr>
                <w:rFonts w:ascii="Arial" w:cs="Arial" w:eastAsia="Arial" w:hAnsi="Arial"/>
                <w:b/>
                <w:bCs/>
                <w:i w:val="false"/>
                <w:iCs w:val="false"/>
                <w:color w:val="1A56DB"/>
                <w:sz w:val="19"/>
                <w:szCs w:val="19"/>
              </w:rPr>
              <w:t xml:space="preserve">T-02</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Cycle Demande de Prêt</w:t>
            </w:r>
          </w:p>
        </w:tc>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Chargé de Relation</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Nigéria</w:t>
            </w:r>
          </w:p>
        </w:tc>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NGN</w:t>
            </w:r>
          </w:p>
        </w:tc>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18 000$</w:t>
            </w:r>
          </w:p>
        </w:tc>
        <w:tc>
          <w:tcPr>
            <w:tcW w:type="dxa" w:w="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N/A</w:t>
            </w:r>
          </w:p>
        </w:tc>
        <w:tc>
          <w:tcPr>
            <w:tcW w:type="dxa" w:w="1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Étapes Opportunité + règles de porte</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center"/>
            </w:pPr>
            <w:r>
              <w:rPr>
                <w:rFonts w:ascii="Arial" w:cs="Arial" w:eastAsia="Arial" w:hAnsi="Arial"/>
                <w:b/>
                <w:bCs/>
                <w:i w:val="false"/>
                <w:iCs w:val="false"/>
                <w:color w:val="1A56DB"/>
                <w:sz w:val="19"/>
                <w:szCs w:val="19"/>
              </w:rPr>
              <w:t xml:space="preserve">T-03</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Structuration Crédit</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Chargé de Crédit</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Cameroun</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XAF</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350 000$</w:t>
            </w:r>
          </w:p>
        </w:tc>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Niveau 1</w:t>
            </w:r>
          </w:p>
        </w:tc>
        <w:tc>
          <w:tcPr>
            <w:tcW w:type="dxa" w:w="1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DF → Facilité → Collatéral → Covenant</w:t>
            </w:r>
          </w:p>
        </w:tc>
      </w:tr>
      <w:tr>
        <w:tc>
          <w:tcPr>
            <w:tcW w:type="dxa" w:w="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center"/>
            </w:pPr>
            <w:r>
              <w:rPr>
                <w:rFonts w:ascii="Arial" w:cs="Arial" w:eastAsia="Arial" w:hAnsi="Arial"/>
                <w:b/>
                <w:bCs/>
                <w:i w:val="false"/>
                <w:iCs w:val="false"/>
                <w:color w:val="1A56DB"/>
                <w:sz w:val="19"/>
                <w:szCs w:val="19"/>
              </w:rPr>
              <w:t xml:space="preserve">T-04</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Gestion Documents</w:t>
            </w:r>
          </w:p>
        </w:tc>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Officier Conformité</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Ghana</w:t>
            </w:r>
          </w:p>
        </w:tc>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GHS</w:t>
            </w:r>
          </w:p>
        </w:tc>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75 000$</w:t>
            </w:r>
          </w:p>
        </w:tc>
        <w:tc>
          <w:tcPr>
            <w:tcW w:type="dxa" w:w="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N/A</w:t>
            </w:r>
          </w:p>
        </w:tc>
        <w:tc>
          <w:tcPr>
            <w:tcW w:type="dxa" w:w="1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Porte liste de contrôle documents</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center"/>
            </w:pPr>
            <w:r>
              <w:rPr>
                <w:rFonts w:ascii="Arial" w:cs="Arial" w:eastAsia="Arial" w:hAnsi="Arial"/>
                <w:b/>
                <w:bCs/>
                <w:i w:val="false"/>
                <w:iCs w:val="false"/>
                <w:color w:val="1A56DB"/>
                <w:sz w:val="19"/>
                <w:szCs w:val="19"/>
              </w:rPr>
              <w:t xml:space="preserve">T-05</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Mémo Crédit &amp; Approbation</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CC + CCS</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Côte d'Ivoire</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XOF</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45 000$</w:t>
            </w:r>
          </w:p>
        </w:tc>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Niveau 1</w:t>
            </w:r>
          </w:p>
        </w:tc>
        <w:tc>
          <w:tcPr>
            <w:tcW w:type="dxa" w:w="1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Soumission mémo + routage N1</w:t>
            </w:r>
          </w:p>
        </w:tc>
      </w:tr>
      <w:tr>
        <w:tc>
          <w:tcPr>
            <w:tcW w:type="dxa" w:w="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center"/>
            </w:pPr>
            <w:r>
              <w:rPr>
                <w:rFonts w:ascii="Arial" w:cs="Arial" w:eastAsia="Arial" w:hAnsi="Arial"/>
                <w:b/>
                <w:bCs/>
                <w:i w:val="false"/>
                <w:iCs w:val="false"/>
                <w:color w:val="1A56DB"/>
                <w:sz w:val="19"/>
                <w:szCs w:val="19"/>
              </w:rPr>
              <w:t xml:space="preserve">T-06</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Approbation Multi-Niveaux</w:t>
            </w:r>
          </w:p>
        </w:tc>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CCS → DR → DF</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Kenya</w:t>
            </w:r>
          </w:p>
        </w:tc>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KES</w:t>
            </w:r>
          </w:p>
        </w:tc>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1 200 000$</w:t>
            </w:r>
          </w:p>
        </w:tc>
        <w:tc>
          <w:tcPr>
            <w:tcW w:type="dxa" w:w="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Niveau 2→3</w:t>
            </w:r>
          </w:p>
        </w:tc>
        <w:tc>
          <w:tcPr>
            <w:tcW w:type="dxa" w:w="1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Routage approbation 3 niveaux</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center"/>
            </w:pPr>
            <w:r>
              <w:rPr>
                <w:rFonts w:ascii="Arial" w:cs="Arial" w:eastAsia="Arial" w:hAnsi="Arial"/>
                <w:b/>
                <w:bCs/>
                <w:i w:val="false"/>
                <w:iCs w:val="false"/>
                <w:color w:val="1A56DB"/>
                <w:sz w:val="19"/>
                <w:szCs w:val="19"/>
              </w:rPr>
              <w:t xml:space="preserve">T-07</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Exception Limite Exposition</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CC + Admin</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Rwanda</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RWF</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Dépasse limite</w:t>
            </w:r>
          </w:p>
        </w:tc>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Exception</w:t>
            </w:r>
          </w:p>
        </w:tc>
        <w:tc>
          <w:tcPr>
            <w:tcW w:type="dxa" w:w="1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Processus exception + journal audit</w:t>
            </w:r>
          </w:p>
        </w:tc>
      </w:tr>
      <w:tr>
        <w:tc>
          <w:tcPr>
            <w:tcW w:type="dxa" w:w="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center"/>
            </w:pPr>
            <w:r>
              <w:rPr>
                <w:rFonts w:ascii="Arial" w:cs="Arial" w:eastAsia="Arial" w:hAnsi="Arial"/>
                <w:b/>
                <w:bCs/>
                <w:i w:val="false"/>
                <w:iCs w:val="false"/>
                <w:color w:val="1A56DB"/>
                <w:sz w:val="19"/>
                <w:szCs w:val="19"/>
              </w:rPr>
              <w:t xml:space="preserve">T-08</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Détection Violation Covenant</w:t>
            </w:r>
          </w:p>
        </w:tc>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Resp. Portefeuille</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Libéria</w:t>
            </w:r>
          </w:p>
        </w:tc>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LRD</w:t>
            </w:r>
          </w:p>
        </w:tc>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N/A</w:t>
            </w:r>
          </w:p>
        </w:tc>
        <w:tc>
          <w:tcPr>
            <w:tcW w:type="dxa" w:w="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N/A</w:t>
            </w:r>
          </w:p>
        </w:tc>
        <w:tc>
          <w:tcPr>
            <w:tcW w:type="dxa" w:w="1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Violation temps réel + vue régulateur</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center"/>
            </w:pPr>
            <w:r>
              <w:rPr>
                <w:rFonts w:ascii="Arial" w:cs="Arial" w:eastAsia="Arial" w:hAnsi="Arial"/>
                <w:b/>
                <w:bCs/>
                <w:i w:val="false"/>
                <w:iCs w:val="false"/>
                <w:color w:val="1A56DB"/>
                <w:sz w:val="19"/>
                <w:szCs w:val="19"/>
              </w:rPr>
              <w:t xml:space="preserve">T-09</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Deal Comité</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Tous Rôles Crédit</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Congo</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XAF</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3 200 000$</w:t>
            </w:r>
          </w:p>
        </w:tc>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Niveau 3 Direct</w:t>
            </w:r>
          </w:p>
        </w:tc>
        <w:tc>
          <w:tcPr>
            <w:tcW w:type="dxa" w:w="1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Cycle de vie complet deal comité</w:t>
            </w:r>
          </w:p>
        </w:tc>
      </w:tr>
      <w:tr>
        <w:tc>
          <w:tcPr>
            <w:tcW w:type="dxa" w:w="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center"/>
            </w:pPr>
            <w:r>
              <w:rPr>
                <w:rFonts w:ascii="Arial" w:cs="Arial" w:eastAsia="Arial" w:hAnsi="Arial"/>
                <w:b/>
                <w:bCs/>
                <w:i w:val="false"/>
                <w:iCs w:val="false"/>
                <w:color w:val="1A56DB"/>
                <w:sz w:val="19"/>
                <w:szCs w:val="19"/>
              </w:rPr>
              <w:t xml:space="preserve">T-10</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Scoring Crédit Alternatif</w:t>
            </w:r>
          </w:p>
        </w:tc>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CR + CC</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Mali</w:t>
            </w:r>
          </w:p>
        </w:tc>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XOF</w:t>
            </w:r>
          </w:p>
        </w:tc>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12 000$</w:t>
            </w:r>
          </w:p>
        </w:tc>
        <w:tc>
          <w:tcPr>
            <w:tcW w:type="dxa" w:w="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Niveau 1</w:t>
            </w:r>
          </w:p>
        </w:tc>
        <w:tc>
          <w:tcPr>
            <w:tcW w:type="dxa" w:w="1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Emprunteur informel + risque suggéré</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DB" w:val="clear"/>
            <w:tcMar>
              <w:top w:type="dxa" w:w="140"/>
              <w:left w:type="dxa" w:w="240"/>
              <w:bottom w:type="dxa" w:w="140"/>
              <w:right w:type="dxa" w:w="240"/>
            </w:tcMar>
          </w:tcPr>
          <w:p>
            <w:pPr>
              <w:spacing w:after="30" w:before="0"/>
            </w:pPr>
            <w:r>
              <w:rPr>
                <w:rFonts w:ascii="Arial" w:cs="Arial" w:eastAsia="Arial" w:hAnsi="Arial"/>
                <w:b/>
                <w:bCs/>
                <w:color w:val="FFFFFF"/>
                <w:sz w:val="26"/>
                <w:szCs w:val="26"/>
              </w:rPr>
              <w:t xml:space="preserve">TEST T-01  —  Enregistrement Emprunteur — Création du Compte</w:t>
            </w:r>
          </w:p>
          <w:p>
            <w:pPr>
              <w:spacing w:after="20" w:before="0"/>
            </w:pPr>
            <w:r>
              <w:rPr>
                <w:rFonts w:ascii="Arial" w:cs="Arial" w:eastAsia="Arial" w:hAnsi="Arial"/>
                <w:color w:val="DDDDDD"/>
                <w:sz w:val="17"/>
                <w:szCs w:val="17"/>
              </w:rPr>
              <w:t xml:space="preserve">🌍 Pays : Sénégal  ·  💱 Devise : XOF — CFA Franc BCEAO  ·  🏦 Emprunteur : Aminata Diallo — Vendeuse de Marché</w:t>
            </w:r>
          </w:p>
          <w:p>
            <w:pPr>
              <w:spacing w:after="0" w:before="0"/>
            </w:pPr>
            <w:r>
              <w:rPr>
                <w:rFonts w:ascii="Arial" w:cs="Arial" w:eastAsia="Arial" w:hAnsi="Arial"/>
                <w:color w:val="DDDDDD"/>
                <w:sz w:val="17"/>
                <w:szCs w:val="17"/>
              </w:rPr>
              <w:t xml:space="preserve">📋 Type de Prêt : N/A — Compte uniquement  ·  💰 Montant : N/A  ·  ✅ Approbation : N/A</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1A56DB" w:val="clear"/>
            <w:tcMar>
              <w:top w:type="dxa" w:w="100"/>
              <w:left w:type="dxa" w:w="160"/>
              <w:bottom w:type="dxa" w:w="100"/>
              <w:right w:type="dxa" w:w="160"/>
            </w:tcMar>
          </w:tcPr>
          <w:p>
            <w:pPr>
              <w:spacing w:after="30" w:before="0"/>
              <w:jc w:val="left"/>
            </w:pPr>
            <w:r>
              <w:rPr>
                <w:rFonts w:ascii="Arial" w:cs="Arial" w:eastAsia="Arial" w:hAnsi="Arial"/>
                <w:b/>
                <w:bCs/>
                <w:i w:val="false"/>
                <w:iCs w:val="false"/>
                <w:color w:val="FFFFFF"/>
                <w:sz w:val="18"/>
                <w:szCs w:val="18"/>
              </w:rPr>
              <w:t xml:space="preserve">👤 Rôle Exécutant ce Test</w:t>
            </w:r>
          </w:p>
          <w:p>
            <w:pPr>
              <w:spacing w:after="0" w:before="0"/>
              <w:jc w:val="left"/>
            </w:pPr>
            <w:r>
              <w:rPr>
                <w:rFonts w:ascii="Arial" w:cs="Arial" w:eastAsia="Arial" w:hAnsi="Arial"/>
                <w:b/>
                <w:bCs/>
                <w:i w:val="false"/>
                <w:iCs w:val="false"/>
                <w:color w:val="FFFFFF"/>
                <w:sz w:val="20"/>
                <w:szCs w:val="20"/>
              </w:rPr>
              <w:t xml:space="preserve">Chargé de Relation</w:t>
            </w:r>
          </w:p>
        </w:tc>
        <w:tc>
          <w:tcPr>
            <w:tcW w:type="dxa" w:w="4680"/>
            <w:tcBorders>
              <w:top w:val="none" w:color="FFFFFF" w:sz="0"/>
              <w:left w:val="none" w:color="FFFFFF" w:sz="0"/>
              <w:bottom w:val="none" w:color="FFFFFF" w:sz="0"/>
              <w:right w:val="none" w:color="FFFFFF" w:sz="0"/>
            </w:tcBorders>
            <w:shd w:fill="F8FAFC" w:val="clear"/>
            <w:tcMar>
              <w:top w:type="dxa" w:w="100"/>
              <w:left w:type="dxa" w:w="160"/>
              <w:bottom w:type="dxa" w:w="100"/>
              <w:right w:type="dxa" w:w="160"/>
            </w:tcMar>
          </w:tcPr>
          <w:p>
            <w:pPr>
              <w:spacing w:after="30" w:before="0"/>
              <w:jc w:val="left"/>
            </w:pPr>
            <w:r>
              <w:rPr>
                <w:rFonts w:ascii="Arial" w:cs="Arial" w:eastAsia="Arial" w:hAnsi="Arial"/>
                <w:b/>
                <w:bCs/>
                <w:i w:val="false"/>
                <w:iCs w:val="false"/>
                <w:color w:val="0D1F3C"/>
                <w:sz w:val="18"/>
                <w:szCs w:val="18"/>
              </w:rPr>
              <w:t xml:space="preserve">Pourquoi ce rôle ?</w:t>
            </w:r>
          </w:p>
          <w:p>
            <w:pPr>
              <w:spacing w:after="0" w:before="0"/>
              <w:jc w:val="left"/>
            </w:pPr>
            <w:r>
              <w:rPr>
                <w:rFonts w:ascii="Arial" w:cs="Arial" w:eastAsia="Arial" w:hAnsi="Arial"/>
                <w:b w:val="false"/>
                <w:bCs w:val="false"/>
                <w:i w:val="false"/>
                <w:iCs w:val="false"/>
                <w:color w:val="000000"/>
                <w:sz w:val="18"/>
                <w:szCs w:val="18"/>
              </w:rPr>
              <w:t xml:space="preserve">Le Chargé de Relation est le premier point de contact avec l'emprunteur. Il collecte toutes les informations d'identité, professionnelles et de scoring alternatif. Il est propriétaire du Compte depuis sa création.</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3"/>
              <w:left w:val="single" w:color="1A56DB" w:sz="3"/>
              <w:bottom w:val="single" w:color="1A56DB" w:sz="1"/>
              <w:right w:val="single" w:color="1A56DB" w:sz="1"/>
            </w:tcBorders>
            <w:shd w:fill="EBF2FF" w:val="clear"/>
            <w:tcMar>
              <w:top w:type="dxa" w:w="120"/>
              <w:left w:type="dxa" w:w="200"/>
              <w:bottom w:type="dxa" w:w="120"/>
              <w:right w:type="dxa" w:w="200"/>
            </w:tcMar>
          </w:tcPr>
          <w:p>
            <w:pPr>
              <w:spacing w:after="60" w:before="0"/>
              <w:jc w:val="left"/>
            </w:pPr>
            <w:r>
              <w:rPr>
                <w:rFonts w:ascii="Arial" w:cs="Arial" w:eastAsia="Arial" w:hAnsi="Arial"/>
                <w:b/>
                <w:bCs/>
                <w:i w:val="false"/>
                <w:iCs w:val="false"/>
                <w:color w:val="1A56DB"/>
                <w:sz w:val="19"/>
                <w:szCs w:val="19"/>
              </w:rPr>
              <w:t xml:space="preserve">Ce que ce test valide</w:t>
            </w:r>
          </w:p>
          <w:p>
            <w:pPr>
              <w:pStyle w:val="ListParagraph"/>
              <w:numPr>
                <w:ilvl w:val="0"/>
                <w:numId w:val="2"/>
              </w:numPr>
              <w:spacing w:after="30" w:before="30"/>
            </w:pPr>
            <w:r>
              <w:rPr>
                <w:rFonts w:ascii="Arial" w:cs="Arial" w:eastAsia="Arial" w:hAnsi="Arial"/>
                <w:b w:val="false"/>
                <w:bCs w:val="false"/>
                <w:color w:val="000000"/>
                <w:sz w:val="19"/>
                <w:szCs w:val="19"/>
              </w:rPr>
              <w:t xml:space="preserve">Création du Compte avec tous les champs obligatoires</w:t>
            </w:r>
          </w:p>
          <w:p>
            <w:pPr>
              <w:pStyle w:val="ListParagraph"/>
              <w:numPr>
                <w:ilvl w:val="0"/>
                <w:numId w:val="2"/>
              </w:numPr>
              <w:spacing w:after="30" w:before="30"/>
            </w:pPr>
            <w:r>
              <w:rPr>
                <w:rFonts w:ascii="Arial" w:cs="Arial" w:eastAsia="Arial" w:hAnsi="Arial"/>
                <w:b w:val="false"/>
                <w:bCs w:val="false"/>
                <w:color w:val="000000"/>
                <w:sz w:val="19"/>
                <w:szCs w:val="19"/>
              </w:rPr>
              <w:t xml:space="preserve">Devise réglée automatiquement depuis la sélection du Marché Principal via flux</w:t>
            </w:r>
          </w:p>
          <w:p>
            <w:pPr>
              <w:pStyle w:val="ListParagraph"/>
              <w:numPr>
                <w:ilvl w:val="0"/>
                <w:numId w:val="2"/>
              </w:numPr>
              <w:spacing w:after="30" w:before="30"/>
            </w:pPr>
            <w:r>
              <w:rPr>
                <w:rFonts w:ascii="Arial" w:cs="Arial" w:eastAsia="Arial" w:hAnsi="Arial"/>
                <w:b w:val="false"/>
                <w:bCs w:val="false"/>
                <w:color w:val="000000"/>
                <w:sz w:val="19"/>
                <w:szCs w:val="19"/>
              </w:rPr>
              <w:t xml:space="preserve">Statut KYC démarre à En attente — l'officier de conformité doit vérifier ultérieurement</w:t>
            </w:r>
          </w:p>
          <w:p>
            <w:pPr>
              <w:pStyle w:val="ListParagraph"/>
              <w:numPr>
                <w:ilvl w:val="0"/>
                <w:numId w:val="2"/>
              </w:numPr>
              <w:spacing w:after="30" w:before="30"/>
            </w:pPr>
            <w:r>
              <w:rPr>
                <w:rFonts w:ascii="Arial" w:cs="Arial" w:eastAsia="Arial" w:hAnsi="Arial"/>
                <w:b w:val="false"/>
                <w:bCs w:val="false"/>
                <w:color w:val="000000"/>
                <w:sz w:val="19"/>
                <w:szCs w:val="19"/>
              </w:rPr>
              <w:t xml:space="preserve">La formule Niveau de Risque Suggéré calcule automatiquement pour les emprunteurs du secteur informel</w:t>
            </w:r>
          </w:p>
          <w:p>
            <w:pPr>
              <w:pStyle w:val="ListParagraph"/>
              <w:numPr>
                <w:ilvl w:val="0"/>
                <w:numId w:val="2"/>
              </w:numPr>
              <w:spacing w:after="30" w:before="30"/>
            </w:pPr>
            <w:r>
              <w:rPr>
                <w:rFonts w:ascii="Arial" w:cs="Arial" w:eastAsia="Arial" w:hAnsi="Arial"/>
                <w:b w:val="false"/>
                <w:bCs w:val="false"/>
                <w:color w:val="000000"/>
                <w:sz w:val="19"/>
                <w:szCs w:val="19"/>
              </w:rPr>
              <w:t xml:space="preserve">Champs de crédit de groupe visibles pour les emprunteurs coopérative/tontine</w:t>
            </w:r>
          </w:p>
          <w:p>
            <w:pPr>
              <w:pStyle w:val="ListParagraph"/>
              <w:numPr>
                <w:ilvl w:val="0"/>
                <w:numId w:val="2"/>
              </w:numPr>
              <w:spacing w:after="30" w:before="30"/>
            </w:pPr>
            <w:r>
              <w:rPr>
                <w:rFonts w:ascii="Arial" w:cs="Arial" w:eastAsia="Arial" w:hAnsi="Arial"/>
                <w:b w:val="false"/>
                <w:bCs w:val="false"/>
                <w:color w:val="000000"/>
                <w:sz w:val="19"/>
                <w:szCs w:val="19"/>
              </w:rPr>
              <w:t xml:space="preserve">Entrées de scoring de crédit alternatif capturées correctement</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560"/>
        <w:gridCol w:w="3200"/>
        <w:gridCol w:w="2200"/>
      </w:tblGrid>
      <w:tr>
        <w:tc>
          <w:tcPr>
            <w:tcW w:type="dxa" w:w="4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center"/>
            </w:pPr>
            <w:r>
              <w:rPr>
                <w:rFonts w:ascii="Arial" w:cs="Arial" w:eastAsia="Arial" w:hAnsi="Arial"/>
                <w:b/>
                <w:bCs/>
                <w:i w:val="false"/>
                <w:iCs w:val="false"/>
                <w:color w:val="FFFFFF"/>
                <w:sz w:val="19"/>
                <w:szCs w:val="19"/>
              </w:rPr>
              <w:t xml:space="preserve">Étape</w:t>
            </w:r>
          </w:p>
        </w:tc>
        <w:tc>
          <w:tcPr>
            <w:tcW w:type="dxa" w:w="356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Action</w:t>
            </w:r>
          </w:p>
        </w:tc>
        <w:tc>
          <w:tcPr>
            <w:tcW w:type="dxa" w:w="32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Résultat Attendu</w:t>
            </w:r>
          </w:p>
        </w:tc>
        <w:tc>
          <w:tcPr>
            <w:tcW w:type="dxa" w:w="22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Porte / Règle</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1</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Naviguer vers l'onglet Comptes → cliquer Nouveau</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Le formulaire Nouveau Compte s'ouvre avec la section Identité Emprunteur visible</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2</w:t>
            </w:r>
          </w:p>
        </w:tc>
        <w:tc>
          <w:tcPr>
            <w:tcW w:type="dxa" w:w="3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Saisir Nom du Compte : Aminata Diallo Vendeuse de Marché
Type de Client : Individuel
Secteur : Commerce &amp; Affaires
Marché Principal : Sénégal</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Les champs se remplissent correctement. Les listes de valeurs Type de Client et Secteur affichent les valeurs correctes.</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3</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Cliquer Enregistrer — observer le champ Devise du Compte</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La Devise du Compte se règle automatiquement sur XOF — CFA Franc BCEAO. Aucune sélection manuelle requise.</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Flux : CF360 Régler Devise Compte depuis Marché Principal V1</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4</w:t>
            </w:r>
          </w:p>
        </w:tc>
        <w:tc>
          <w:tcPr>
            <w:tcW w:type="dxa" w:w="3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Modifier Compte → faire défiler jusqu'à la section Scoring de Crédit Alternatif
Cocher : Secteur Informel = ✅
Activité Mobile Money = Élevée
Historique Paiements Factures = Bon
Membre Association Marché = ✅
Enregistrer</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L'enregistrement est sauvegardé. Le champ Niveau de Risque Suggéré affiche maintenant : Suggéré : RISQUE FAIBLE-MOYEN</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Formule : Suggested_Risk_Level__c recalcule à la sauvegarde</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5</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Essayer de définir Statut KYC = Vérifié sans saisir le Numéro Fiscal → Enregistrer</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BLOQUÉ. Erreur sur le champ Numéro Fiscal : "Vous ne pouvez pas définir le Statut KYC à Vérifié sans saisir un Numéro Fiscal."</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Règle de Validation : Require_Tax_ID_When_KYC_Status_is_Verified</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6</w:t>
            </w:r>
          </w:p>
        </w:tc>
        <w:tc>
          <w:tcPr>
            <w:tcW w:type="dxa" w:w="3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Saisir Numéro Fiscal : SN-2026-AMD-0012
Définir Statut KYC = Vérifié → Enregistrer</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Le Compte est sauvegardé avec succès. Statut KYC = Vérifié. Le Compte est maintenant éligible à l'approbation d'un prêt.</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7</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Vérifier la barre compacte en haut de l'enregistrement du Compte</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La barre affiche : Type de Client · Secteur · Statut KYC · Niveau de Risque · Exposition Totale Actuelle. Aucun champ CRM générique Salesforce.</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Mise en page compacte CF360 Compte active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490" w:val="clear"/>
            <w:tcMar>
              <w:top w:type="dxa" w:w="140"/>
              <w:left w:type="dxa" w:w="240"/>
              <w:bottom w:type="dxa" w:w="140"/>
              <w:right w:type="dxa" w:w="240"/>
            </w:tcMar>
          </w:tcPr>
          <w:p>
            <w:pPr>
              <w:spacing w:after="30" w:before="0"/>
            </w:pPr>
            <w:r>
              <w:rPr>
                <w:rFonts w:ascii="Arial" w:cs="Arial" w:eastAsia="Arial" w:hAnsi="Arial"/>
                <w:b/>
                <w:bCs/>
                <w:color w:val="FFFFFF"/>
                <w:sz w:val="26"/>
                <w:szCs w:val="26"/>
              </w:rPr>
              <w:t xml:space="preserve">TEST T-02  —  Cycle de Vie de la Demande de Prêt — Étapes Opportunité</w:t>
            </w:r>
          </w:p>
          <w:p>
            <w:pPr>
              <w:spacing w:after="20" w:before="0"/>
            </w:pPr>
            <w:r>
              <w:rPr>
                <w:rFonts w:ascii="Arial" w:cs="Arial" w:eastAsia="Arial" w:hAnsi="Arial"/>
                <w:color w:val="DDDDDD"/>
                <w:sz w:val="17"/>
                <w:szCs w:val="17"/>
              </w:rPr>
              <w:t xml:space="preserve">🌍 Pays : Nigéria  ·  💱 Devise : NGN — Naira Nigérian  ·  🏦 Emprunteur : Obi Agricultural Cooperative</w:t>
            </w:r>
          </w:p>
          <w:p>
            <w:pPr>
              <w:spacing w:after="0" w:before="0"/>
            </w:pPr>
            <w:r>
              <w:rPr>
                <w:rFonts w:ascii="Arial" w:cs="Arial" w:eastAsia="Arial" w:hAnsi="Arial"/>
                <w:color w:val="DDDDDD"/>
                <w:sz w:val="17"/>
                <w:szCs w:val="17"/>
              </w:rPr>
              <w:t xml:space="preserve">📋 Type de Prêt : Prêt Agriculture  ·  💰 Montant : 18 000$ (≈ NGN 24 660 000)  ·  ✅ Approbation : Niveau 1</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0E7490" w:val="clear"/>
            <w:tcMar>
              <w:top w:type="dxa" w:w="100"/>
              <w:left w:type="dxa" w:w="160"/>
              <w:bottom w:type="dxa" w:w="100"/>
              <w:right w:type="dxa" w:w="160"/>
            </w:tcMar>
          </w:tcPr>
          <w:p>
            <w:pPr>
              <w:spacing w:after="30" w:before="0"/>
              <w:jc w:val="left"/>
            </w:pPr>
            <w:r>
              <w:rPr>
                <w:rFonts w:ascii="Arial" w:cs="Arial" w:eastAsia="Arial" w:hAnsi="Arial"/>
                <w:b/>
                <w:bCs/>
                <w:i w:val="false"/>
                <w:iCs w:val="false"/>
                <w:color w:val="FFFFFF"/>
                <w:sz w:val="18"/>
                <w:szCs w:val="18"/>
              </w:rPr>
              <w:t xml:space="preserve">👤 Rôle Exécutant ce Test</w:t>
            </w:r>
          </w:p>
          <w:p>
            <w:pPr>
              <w:spacing w:after="0" w:before="0"/>
              <w:jc w:val="left"/>
            </w:pPr>
            <w:r>
              <w:rPr>
                <w:rFonts w:ascii="Arial" w:cs="Arial" w:eastAsia="Arial" w:hAnsi="Arial"/>
                <w:b/>
                <w:bCs/>
                <w:i w:val="false"/>
                <w:iCs w:val="false"/>
                <w:color w:val="FFFFFF"/>
                <w:sz w:val="20"/>
                <w:szCs w:val="20"/>
              </w:rPr>
              <w:t xml:space="preserve">Chargé de Relation</w:t>
            </w:r>
          </w:p>
        </w:tc>
        <w:tc>
          <w:tcPr>
            <w:tcW w:type="dxa" w:w="4680"/>
            <w:tcBorders>
              <w:top w:val="none" w:color="FFFFFF" w:sz="0"/>
              <w:left w:val="none" w:color="FFFFFF" w:sz="0"/>
              <w:bottom w:val="none" w:color="FFFFFF" w:sz="0"/>
              <w:right w:val="none" w:color="FFFFFF" w:sz="0"/>
            </w:tcBorders>
            <w:shd w:fill="F8FAFC" w:val="clear"/>
            <w:tcMar>
              <w:top w:type="dxa" w:w="100"/>
              <w:left w:type="dxa" w:w="160"/>
              <w:bottom w:type="dxa" w:w="100"/>
              <w:right w:type="dxa" w:w="160"/>
            </w:tcMar>
          </w:tcPr>
          <w:p>
            <w:pPr>
              <w:spacing w:after="30" w:before="0"/>
              <w:jc w:val="left"/>
            </w:pPr>
            <w:r>
              <w:rPr>
                <w:rFonts w:ascii="Arial" w:cs="Arial" w:eastAsia="Arial" w:hAnsi="Arial"/>
                <w:b/>
                <w:bCs/>
                <w:i w:val="false"/>
                <w:iCs w:val="false"/>
                <w:color w:val="0D1F3C"/>
                <w:sz w:val="18"/>
                <w:szCs w:val="18"/>
              </w:rPr>
              <w:t xml:space="preserve">Pourquoi ce rôle ?</w:t>
            </w:r>
          </w:p>
          <w:p>
            <w:pPr>
              <w:spacing w:after="0" w:before="0"/>
              <w:jc w:val="left"/>
            </w:pPr>
            <w:r>
              <w:rPr>
                <w:rFonts w:ascii="Arial" w:cs="Arial" w:eastAsia="Arial" w:hAnsi="Arial"/>
                <w:b w:val="false"/>
                <w:bCs w:val="false"/>
                <w:i w:val="false"/>
                <w:iCs w:val="false"/>
                <w:color w:val="000000"/>
                <w:sz w:val="18"/>
                <w:szCs w:val="18"/>
              </w:rPr>
              <w:t xml:space="preserve">Le Chargé de Relation crée et gère la demande de prêt (Opportunité). Il fait avancer les étapes au fil de la progression de la demande. Quand l'Opportunité atteint Approuvé, le système crée automatiquement le Dossier de Financement.</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3"/>
              <w:left w:val="single" w:color="0E7490" w:sz="3"/>
              <w:bottom w:val="single" w:color="0E7490" w:sz="1"/>
              <w:right w:val="single" w:color="0E7490" w:sz="1"/>
            </w:tcBorders>
            <w:shd w:fill="CFFAFE" w:val="clear"/>
            <w:tcMar>
              <w:top w:type="dxa" w:w="120"/>
              <w:left w:type="dxa" w:w="200"/>
              <w:bottom w:type="dxa" w:w="120"/>
              <w:right w:type="dxa" w:w="200"/>
            </w:tcMar>
          </w:tcPr>
          <w:p>
            <w:pPr>
              <w:spacing w:after="60" w:before="0"/>
              <w:jc w:val="left"/>
            </w:pPr>
            <w:r>
              <w:rPr>
                <w:rFonts w:ascii="Arial" w:cs="Arial" w:eastAsia="Arial" w:hAnsi="Arial"/>
                <w:b/>
                <w:bCs/>
                <w:i w:val="false"/>
                <w:iCs w:val="false"/>
                <w:color w:val="0E7490"/>
                <w:sz w:val="19"/>
                <w:szCs w:val="19"/>
              </w:rPr>
              <w:t xml:space="preserve">Ce que ce test valide</w:t>
            </w:r>
          </w:p>
          <w:p>
            <w:pPr>
              <w:pStyle w:val="ListParagraph"/>
              <w:numPr>
                <w:ilvl w:val="0"/>
                <w:numId w:val="2"/>
              </w:numPr>
              <w:spacing w:after="30" w:before="30"/>
            </w:pPr>
            <w:r>
              <w:rPr>
                <w:rFonts w:ascii="Arial" w:cs="Arial" w:eastAsia="Arial" w:hAnsi="Arial"/>
                <w:b w:val="false"/>
                <w:bCs w:val="false"/>
                <w:color w:val="000000"/>
                <w:sz w:val="19"/>
                <w:szCs w:val="19"/>
              </w:rPr>
              <w:t xml:space="preserve">Création de l'Opportunité liée au Compte avec héritage correct de la devise</w:t>
            </w:r>
          </w:p>
          <w:p>
            <w:pPr>
              <w:pStyle w:val="ListParagraph"/>
              <w:numPr>
                <w:ilvl w:val="0"/>
                <w:numId w:val="2"/>
              </w:numPr>
              <w:spacing w:after="30" w:before="30"/>
            </w:pPr>
            <w:r>
              <w:rPr>
                <w:rFonts w:ascii="Arial" w:cs="Arial" w:eastAsia="Arial" w:hAnsi="Arial"/>
                <w:b w:val="false"/>
                <w:bCs w:val="false"/>
                <w:color w:val="000000"/>
                <w:sz w:val="19"/>
                <w:szCs w:val="19"/>
              </w:rPr>
              <w:t xml:space="preserve">Progression des étapes à travers les 8 étapes spécifiques au crédit</w:t>
            </w:r>
          </w:p>
          <w:p>
            <w:pPr>
              <w:pStyle w:val="ListParagraph"/>
              <w:numPr>
                <w:ilvl w:val="0"/>
                <w:numId w:val="2"/>
              </w:numPr>
              <w:spacing w:after="30" w:before="30"/>
            </w:pPr>
            <w:r>
              <w:rPr>
                <w:rFonts w:ascii="Arial" w:cs="Arial" w:eastAsia="Arial" w:hAnsi="Arial"/>
                <w:b w:val="false"/>
                <w:bCs w:val="false"/>
                <w:color w:val="000000"/>
                <w:sz w:val="19"/>
                <w:szCs w:val="19"/>
              </w:rPr>
              <w:t xml:space="preserve">La règle de validation bloque l'étape Soumis sans Montant de Demande de Prêt</w:t>
            </w:r>
          </w:p>
          <w:p>
            <w:pPr>
              <w:pStyle w:val="ListParagraph"/>
              <w:numPr>
                <w:ilvl w:val="0"/>
                <w:numId w:val="2"/>
              </w:numPr>
              <w:spacing w:after="30" w:before="30"/>
            </w:pPr>
            <w:r>
              <w:rPr>
                <w:rFonts w:ascii="Arial" w:cs="Arial" w:eastAsia="Arial" w:hAnsi="Arial"/>
                <w:b w:val="false"/>
                <w:bCs w:val="false"/>
                <w:color w:val="000000"/>
                <w:sz w:val="19"/>
                <w:szCs w:val="19"/>
              </w:rPr>
              <w:t xml:space="preserve">La règle de validation bloque Approuvé si le Statut KYC n'est pas Vérifié</w:t>
            </w:r>
          </w:p>
          <w:p>
            <w:pPr>
              <w:pStyle w:val="ListParagraph"/>
              <w:numPr>
                <w:ilvl w:val="0"/>
                <w:numId w:val="2"/>
              </w:numPr>
              <w:spacing w:after="30" w:before="30"/>
            </w:pPr>
            <w:r>
              <w:rPr>
                <w:rFonts w:ascii="Arial" w:cs="Arial" w:eastAsia="Arial" w:hAnsi="Arial"/>
                <w:b w:val="false"/>
                <w:bCs w:val="false"/>
                <w:color w:val="000000"/>
                <w:sz w:val="19"/>
                <w:szCs w:val="19"/>
              </w:rPr>
              <w:t xml:space="preserve">Création automatique du Dossier de Financement quand Opportunité = Approuvé</w:t>
            </w:r>
          </w:p>
          <w:p>
            <w:pPr>
              <w:pStyle w:val="ListParagraph"/>
              <w:numPr>
                <w:ilvl w:val="0"/>
                <w:numId w:val="2"/>
              </w:numPr>
              <w:spacing w:after="30" w:before="30"/>
            </w:pPr>
            <w:r>
              <w:rPr>
                <w:rFonts w:ascii="Arial" w:cs="Arial" w:eastAsia="Arial" w:hAnsi="Arial"/>
                <w:b w:val="false"/>
                <w:bCs w:val="false"/>
                <w:color w:val="000000"/>
                <w:sz w:val="19"/>
                <w:szCs w:val="19"/>
              </w:rPr>
              <w:t xml:space="preserve">La devise cascade correctement : Compte → Opportunité → Dossier de Financement</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560"/>
        <w:gridCol w:w="3200"/>
        <w:gridCol w:w="2200"/>
      </w:tblGrid>
      <w:tr>
        <w:tc>
          <w:tcPr>
            <w:tcW w:type="dxa" w:w="4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center"/>
            </w:pPr>
            <w:r>
              <w:rPr>
                <w:rFonts w:ascii="Arial" w:cs="Arial" w:eastAsia="Arial" w:hAnsi="Arial"/>
                <w:b/>
                <w:bCs/>
                <w:i w:val="false"/>
                <w:iCs w:val="false"/>
                <w:color w:val="FFFFFF"/>
                <w:sz w:val="19"/>
                <w:szCs w:val="19"/>
              </w:rPr>
              <w:t xml:space="preserve">Étape</w:t>
            </w:r>
          </w:p>
        </w:tc>
        <w:tc>
          <w:tcPr>
            <w:tcW w:type="dxa" w:w="356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Action</w:t>
            </w:r>
          </w:p>
        </w:tc>
        <w:tc>
          <w:tcPr>
            <w:tcW w:type="dxa" w:w="32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Résultat Attendu</w:t>
            </w:r>
          </w:p>
        </w:tc>
        <w:tc>
          <w:tcPr>
            <w:tcW w:type="dxa" w:w="22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Porte / Règle</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1</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Ouvrir le Compte : Obi Agricultural Cooperative
Cliquer Nouvelle Demande de Prêt (bouton Action Rapide sur le Compte)</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Le formulaire Nouvelle Opportunité s'ouvre. Nom du Compte pré-rempli. Devise Opportunité réglée automatiquement sur NGN.</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Flux : CF360 Régler Devise Opportunité depuis Compte V1</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2</w:t>
            </w:r>
          </w:p>
        </w:tc>
        <w:tc>
          <w:tcPr>
            <w:tcW w:type="dxa" w:w="3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Saisir Nom Opportunité : Obi Agric — Prêt Agriculture 2026
Étape : Prospection
Date de Clôture : 90 jours à partir d'aujourd'hui
Laisser Montant Demande de Prêt VIDE → Enregistrer</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L'Opportunité est sauvegardée à l'étape Prospection. Pas d'erreur — montant pas encore requis.</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3</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Modifier Opportunité → changer Étape en Soumis → Enregistrer</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BLOQUÉ. Erreur sur le champ Montant Demande de Prêt : "Le Montant de la Demande de Prêt est requis avant cette étape."</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Règle de Validation : Require_Loan_Amount_Before_Submission</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4</w:t>
            </w:r>
          </w:p>
        </w:tc>
        <w:tc>
          <w:tcPr>
            <w:tcW w:type="dxa" w:w="3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Saisir Montant Demande de Prêt : 18 000
Remettre Étape à Prospection → Enregistrer
Puis avancer : En Révision → Documentation → Soumis → Évaluation Crédit</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Chaque changement d'étape est sauvegardé avec succès. L'étape avance dans le pipeline de crédit.</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5</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Modifier Opportunité → changer Étape en Approuvé
(Le Statut KYC du Compte doit être Vérifié)</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BLOQUÉ si KYC n'est pas Vérifié. Erreur sur le champ Étape : "Cette demande de prêt ne peut pas être Approuvée tant que le Statut KYC n'est pas Vérifié."</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Règle de Validation : Require_KYC_Verified_Before_Approval</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6</w:t>
            </w:r>
          </w:p>
        </w:tc>
        <w:tc>
          <w:tcPr>
            <w:tcW w:type="dxa" w:w="3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S'assurer que le Statut KYC du Compte = Vérifié
Changer Étape en Approuvé → Enregistrer</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L'Étape est sauvegardée à Approuvé. Le système crée immédiatement un nouveau Dossier de Financement.</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Flux : CF360 Créer Dossier depuis Opportunité Approuvée V1</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7</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Naviguer vers l'onglet Dossiers de Financement
Ouvrir le Dossier de Financement nouvellement créé</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Le Dossier existe avec : Compte = Obi Agricultural Cooperative · Opportunité = liée · Montant Total = 18 000 · Étape = Brouillon · Statut = Actif · Devise = NGN</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Cascade devise vérifiée de bout en bout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8920A" w:val="clear"/>
            <w:tcMar>
              <w:top w:type="dxa" w:w="140"/>
              <w:left w:type="dxa" w:w="240"/>
              <w:bottom w:type="dxa" w:w="140"/>
              <w:right w:type="dxa" w:w="240"/>
            </w:tcMar>
          </w:tcPr>
          <w:p>
            <w:pPr>
              <w:spacing w:after="30" w:before="0"/>
            </w:pPr>
            <w:r>
              <w:rPr>
                <w:rFonts w:ascii="Arial" w:cs="Arial" w:eastAsia="Arial" w:hAnsi="Arial"/>
                <w:b/>
                <w:bCs/>
                <w:color w:val="FFFFFF"/>
                <w:sz w:val="26"/>
                <w:szCs w:val="26"/>
              </w:rPr>
              <w:t xml:space="preserve">TEST T-03  —  Structuration du Crédit — Dossier de Financement vers Montage</w:t>
            </w:r>
          </w:p>
          <w:p>
            <w:pPr>
              <w:spacing w:after="20" w:before="0"/>
            </w:pPr>
            <w:r>
              <w:rPr>
                <w:rFonts w:ascii="Arial" w:cs="Arial" w:eastAsia="Arial" w:hAnsi="Arial"/>
                <w:color w:val="DDDDDD"/>
                <w:sz w:val="17"/>
                <w:szCs w:val="17"/>
              </w:rPr>
              <w:t xml:space="preserve">🌍 Pays : Cameroun  ·  💱 Devise : XAF — CFA Franc BEAC  ·  🏦 Emprunteur : Mvondo Construction SARL</w:t>
            </w:r>
          </w:p>
          <w:p>
            <w:pPr>
              <w:spacing w:after="0" w:before="0"/>
            </w:pPr>
            <w:r>
              <w:rPr>
                <w:rFonts w:ascii="Arial" w:cs="Arial" w:eastAsia="Arial" w:hAnsi="Arial"/>
                <w:color w:val="DDDDDD"/>
                <w:sz w:val="17"/>
                <w:szCs w:val="17"/>
              </w:rPr>
              <w:t xml:space="preserve">📋 Type de Prêt : Financement Contrat Gouvernemental  ·  💰 Montant : 350 000$ (≈ XAF 210 000 000)  ·  ✅ Approbation : Niveau 1</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C8920A" w:val="clear"/>
            <w:tcMar>
              <w:top w:type="dxa" w:w="100"/>
              <w:left w:type="dxa" w:w="160"/>
              <w:bottom w:type="dxa" w:w="100"/>
              <w:right w:type="dxa" w:w="160"/>
            </w:tcMar>
          </w:tcPr>
          <w:p>
            <w:pPr>
              <w:spacing w:after="30" w:before="0"/>
              <w:jc w:val="left"/>
            </w:pPr>
            <w:r>
              <w:rPr>
                <w:rFonts w:ascii="Arial" w:cs="Arial" w:eastAsia="Arial" w:hAnsi="Arial"/>
                <w:b/>
                <w:bCs/>
                <w:i w:val="false"/>
                <w:iCs w:val="false"/>
                <w:color w:val="FFFFFF"/>
                <w:sz w:val="18"/>
                <w:szCs w:val="18"/>
              </w:rPr>
              <w:t xml:space="preserve">👤 Rôle Exécutant ce Test</w:t>
            </w:r>
          </w:p>
          <w:p>
            <w:pPr>
              <w:spacing w:after="0" w:before="0"/>
              <w:jc w:val="left"/>
            </w:pPr>
            <w:r>
              <w:rPr>
                <w:rFonts w:ascii="Arial" w:cs="Arial" w:eastAsia="Arial" w:hAnsi="Arial"/>
                <w:b/>
                <w:bCs/>
                <w:i w:val="false"/>
                <w:iCs w:val="false"/>
                <w:color w:val="FFFFFF"/>
                <w:sz w:val="20"/>
                <w:szCs w:val="20"/>
              </w:rPr>
              <w:t xml:space="preserve">Chargé de Crédit (Wanjiru Kamau)</w:t>
            </w:r>
          </w:p>
        </w:tc>
        <w:tc>
          <w:tcPr>
            <w:tcW w:type="dxa" w:w="4680"/>
            <w:tcBorders>
              <w:top w:val="none" w:color="FFFFFF" w:sz="0"/>
              <w:left w:val="none" w:color="FFFFFF" w:sz="0"/>
              <w:bottom w:val="none" w:color="FFFFFF" w:sz="0"/>
              <w:right w:val="none" w:color="FFFFFF" w:sz="0"/>
            </w:tcBorders>
            <w:shd w:fill="F8FAFC" w:val="clear"/>
            <w:tcMar>
              <w:top w:type="dxa" w:w="100"/>
              <w:left w:type="dxa" w:w="160"/>
              <w:bottom w:type="dxa" w:w="100"/>
              <w:right w:type="dxa" w:w="160"/>
            </w:tcMar>
          </w:tcPr>
          <w:p>
            <w:pPr>
              <w:spacing w:after="30" w:before="0"/>
              <w:jc w:val="left"/>
            </w:pPr>
            <w:r>
              <w:rPr>
                <w:rFonts w:ascii="Arial" w:cs="Arial" w:eastAsia="Arial" w:hAnsi="Arial"/>
                <w:b/>
                <w:bCs/>
                <w:i w:val="false"/>
                <w:iCs w:val="false"/>
                <w:color w:val="0D1F3C"/>
                <w:sz w:val="18"/>
                <w:szCs w:val="18"/>
              </w:rPr>
              <w:t xml:space="preserve">Pourquoi ce rôle ?</w:t>
            </w:r>
          </w:p>
          <w:p>
            <w:pPr>
              <w:spacing w:after="0" w:before="0"/>
              <w:jc w:val="left"/>
            </w:pPr>
            <w:r>
              <w:rPr>
                <w:rFonts w:ascii="Arial" w:cs="Arial" w:eastAsia="Arial" w:hAnsi="Arial"/>
                <w:b w:val="false"/>
                <w:bCs w:val="false"/>
                <w:i w:val="false"/>
                <w:iCs w:val="false"/>
                <w:color w:val="000000"/>
                <w:sz w:val="18"/>
                <w:szCs w:val="18"/>
              </w:rPr>
              <w:t xml:space="preserve">Le Chargé de Crédit prend le relais du Chargé de Relation une fois le Dossier de Financement créé. Il est responsable de la structuration du deal — créer la Facilité de Crédit, ajouter le Collatéral, configurer les Covenants et s'assurer que tous les documents sont en ordre avant d'avancer au Montage.</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20A" w:sz="3"/>
              <w:left w:val="single" w:color="C8920A" w:sz="3"/>
              <w:bottom w:val="single" w:color="C8920A" w:sz="1"/>
              <w:right w:val="single" w:color="C8920A" w:sz="1"/>
            </w:tcBorders>
            <w:shd w:fill="FFF8E6" w:val="clear"/>
            <w:tcMar>
              <w:top w:type="dxa" w:w="120"/>
              <w:left w:type="dxa" w:w="200"/>
              <w:bottom w:type="dxa" w:w="120"/>
              <w:right w:type="dxa" w:w="200"/>
            </w:tcMar>
          </w:tcPr>
          <w:p>
            <w:pPr>
              <w:spacing w:after="60" w:before="0"/>
              <w:jc w:val="left"/>
            </w:pPr>
            <w:r>
              <w:rPr>
                <w:rFonts w:ascii="Arial" w:cs="Arial" w:eastAsia="Arial" w:hAnsi="Arial"/>
                <w:b/>
                <w:bCs/>
                <w:i w:val="false"/>
                <w:iCs w:val="false"/>
                <w:color w:val="C8920A"/>
                <w:sz w:val="19"/>
                <w:szCs w:val="19"/>
              </w:rPr>
              <w:t xml:space="preserve">Ce que ce test valide</w:t>
            </w:r>
          </w:p>
          <w:p>
            <w:pPr>
              <w:pStyle w:val="ListParagraph"/>
              <w:numPr>
                <w:ilvl w:val="0"/>
                <w:numId w:val="2"/>
              </w:numPr>
              <w:spacing w:after="30" w:before="30"/>
            </w:pPr>
            <w:r>
              <w:rPr>
                <w:rFonts w:ascii="Arial" w:cs="Arial" w:eastAsia="Arial" w:hAnsi="Arial"/>
                <w:b w:val="false"/>
                <w:bCs w:val="false"/>
                <w:color w:val="000000"/>
                <w:sz w:val="19"/>
                <w:szCs w:val="19"/>
              </w:rPr>
              <w:t xml:space="preserve">Création de la Facilité de Crédit avec dépendance de champ Type de Prêt → Taux d'Intérêt</w:t>
            </w:r>
          </w:p>
          <w:p>
            <w:pPr>
              <w:pStyle w:val="ListParagraph"/>
              <w:numPr>
                <w:ilvl w:val="0"/>
                <w:numId w:val="2"/>
              </w:numPr>
              <w:spacing w:after="30" w:before="30"/>
            </w:pPr>
            <w:r>
              <w:rPr>
                <w:rFonts w:ascii="Arial" w:cs="Arial" w:eastAsia="Arial" w:hAnsi="Arial"/>
                <w:b w:val="false"/>
                <w:bCs w:val="false"/>
                <w:color w:val="000000"/>
                <w:sz w:val="19"/>
                <w:szCs w:val="19"/>
              </w:rPr>
              <w:t xml:space="preserve">Devise réglée automatiquement sur la Facilité depuis le Dossier de Financement</w:t>
            </w:r>
          </w:p>
          <w:p>
            <w:pPr>
              <w:pStyle w:val="ListParagraph"/>
              <w:numPr>
                <w:ilvl w:val="0"/>
                <w:numId w:val="2"/>
              </w:numPr>
              <w:spacing w:after="30" w:before="30"/>
            </w:pPr>
            <w:r>
              <w:rPr>
                <w:rFonts w:ascii="Arial" w:cs="Arial" w:eastAsia="Arial" w:hAnsi="Arial"/>
                <w:b w:val="false"/>
                <w:bCs w:val="false"/>
                <w:color w:val="000000"/>
                <w:sz w:val="19"/>
                <w:szCs w:val="19"/>
              </w:rPr>
              <w:t xml:space="preserve">Création du Collatéral avec calcul automatique du LTV%</w:t>
            </w:r>
          </w:p>
          <w:p>
            <w:pPr>
              <w:pStyle w:val="ListParagraph"/>
              <w:numPr>
                <w:ilvl w:val="0"/>
                <w:numId w:val="2"/>
              </w:numPr>
              <w:spacing w:after="30" w:before="30"/>
            </w:pPr>
            <w:r>
              <w:rPr>
                <w:rFonts w:ascii="Arial" w:cs="Arial" w:eastAsia="Arial" w:hAnsi="Arial"/>
                <w:b w:val="false"/>
                <w:bCs w:val="false"/>
                <w:color w:val="000000"/>
                <w:sz w:val="19"/>
                <w:szCs w:val="19"/>
              </w:rPr>
              <w:t xml:space="preserve">Devise réglée automatiquement sur le Collatéral depuis le Dossier</w:t>
            </w:r>
          </w:p>
          <w:p>
            <w:pPr>
              <w:pStyle w:val="ListParagraph"/>
              <w:numPr>
                <w:ilvl w:val="0"/>
                <w:numId w:val="2"/>
              </w:numPr>
              <w:spacing w:after="30" w:before="30"/>
            </w:pPr>
            <w:r>
              <w:rPr>
                <w:rFonts w:ascii="Arial" w:cs="Arial" w:eastAsia="Arial" w:hAnsi="Arial"/>
                <w:b w:val="false"/>
                <w:bCs w:val="false"/>
                <w:color w:val="000000"/>
                <w:sz w:val="19"/>
                <w:szCs w:val="19"/>
              </w:rPr>
              <w:t xml:space="preserve">Configuration du Covenant avec détection de violation en temps réel</w:t>
            </w:r>
          </w:p>
          <w:p>
            <w:pPr>
              <w:pStyle w:val="ListParagraph"/>
              <w:numPr>
                <w:ilvl w:val="0"/>
                <w:numId w:val="2"/>
              </w:numPr>
              <w:spacing w:after="30" w:before="30"/>
            </w:pPr>
            <w:r>
              <w:rPr>
                <w:rFonts w:ascii="Arial" w:cs="Arial" w:eastAsia="Arial" w:hAnsi="Arial"/>
                <w:b w:val="false"/>
                <w:bCs w:val="false"/>
                <w:color w:val="000000"/>
                <w:sz w:val="19"/>
                <w:szCs w:val="19"/>
              </w:rPr>
              <w:t xml:space="preserve">Porte d'étape : le Dossier ne peut pas avancer au Montage sans Facilité de Crédit</w:t>
            </w:r>
          </w:p>
          <w:p>
            <w:pPr>
              <w:pStyle w:val="ListParagraph"/>
              <w:numPr>
                <w:ilvl w:val="0"/>
                <w:numId w:val="2"/>
              </w:numPr>
              <w:spacing w:after="30" w:before="30"/>
            </w:pPr>
            <w:r>
              <w:rPr>
                <w:rFonts w:ascii="Arial" w:cs="Arial" w:eastAsia="Arial" w:hAnsi="Arial"/>
                <w:b w:val="false"/>
                <w:bCs w:val="false"/>
                <w:color w:val="000000"/>
                <w:sz w:val="19"/>
                <w:szCs w:val="19"/>
              </w:rPr>
              <w:t xml:space="preserve">Création automatique de tâches quand le Dossier atteint le Montage</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560"/>
        <w:gridCol w:w="3200"/>
        <w:gridCol w:w="2200"/>
      </w:tblGrid>
      <w:tr>
        <w:tc>
          <w:tcPr>
            <w:tcW w:type="dxa" w:w="4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center"/>
            </w:pPr>
            <w:r>
              <w:rPr>
                <w:rFonts w:ascii="Arial" w:cs="Arial" w:eastAsia="Arial" w:hAnsi="Arial"/>
                <w:b/>
                <w:bCs/>
                <w:i w:val="false"/>
                <w:iCs w:val="false"/>
                <w:color w:val="FFFFFF"/>
                <w:sz w:val="19"/>
                <w:szCs w:val="19"/>
              </w:rPr>
              <w:t xml:space="preserve">Étape</w:t>
            </w:r>
          </w:p>
        </w:tc>
        <w:tc>
          <w:tcPr>
            <w:tcW w:type="dxa" w:w="356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Action</w:t>
            </w:r>
          </w:p>
        </w:tc>
        <w:tc>
          <w:tcPr>
            <w:tcW w:type="dxa" w:w="32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Résultat Attendu</w:t>
            </w:r>
          </w:p>
        </w:tc>
        <w:tc>
          <w:tcPr>
            <w:tcW w:type="dxa" w:w="22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Porte / Règle</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1</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Ouvrir le Dossier de Financement pour Mvondo Construction SARL
Essayer d'avancer l'Étape au Montage → Enregistrer</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BLOQUÉ. Erreur : "Une Facilité de Crédit doit être créée et liée à ce Dossier avant de pouvoir avancer au Montage."</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Porte Étape : CF360 Bloquer Montage Sans Facilité V2</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2</w:t>
            </w:r>
          </w:p>
        </w:tc>
        <w:tc>
          <w:tcPr>
            <w:tcW w:type="dxa" w:w="3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Naviguer vers la liste liée Facilités de Crédit → Nouveau
Type de Prêt : Financement Contrat Gouvernemental
Observer la liste Taux d'Intérêt</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La liste Taux d'Intérêt se filtre automatiquement pour n'afficher que les taux valides pour Financement Contrat Gouvernemental (7,00 à 12,00).</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Dépendance de Champ : Type de Prêt contrôle Taux d'Intérêt</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3</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Saisir : Montant du Prêt = 350 000
Taux d'Intérêt = 9,00
Fréquence Remboursement = Trimestrielle
Date d'Échéance = 24 mois à partir d'aujourd'hui
Enregistrer</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La Facilité de Crédit est sauvegardée. La devise se règle automatiquement sur XAF — correspondant à la devise du Dossier de Financement.</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Flux : CF360 Régler Devise Facilité depuis Dossier V1</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4</w:t>
            </w:r>
          </w:p>
        </w:tc>
        <w:tc>
          <w:tcPr>
            <w:tcW w:type="dxa" w:w="3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Naviguer vers la liste liée Collatéraux → Nouveau
Type : Immobilier
Valeur Estimée = 700 000
Rang de Gage = Premier Rang
Statut = Évaluation en Attente → Enregistrer</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Le Collatéral est sauvegardé. LTV% calculé automatiquement : 50% (350 000 ÷ 700 000). Devise = XAF réglée automatiquement.</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Flux : CF360 Régler Devise Collatéral depuis Dossier V1</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5</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Naviguer vers la liste liée Covenants → Nouveau
Type : Financier
Valeur Seuil = 50 000
Fréquence = Trimestrielle
Date Prochaine Révision = 3 mois → Enregistrer</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Le Covenant est sauvegardé. La surveillance de violation en temps réel est maintenant active sur ce covenant.</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6</w:t>
            </w:r>
          </w:p>
        </w:tc>
        <w:tc>
          <w:tcPr>
            <w:tcW w:type="dxa" w:w="3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Retourner au Dossier de Financement → avancer Étape au Montage → Enregistrer</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L'Étape avance au Montage. 3 tâches créées automatiquement : Config. Facilité (3j), Analyse Financière (5j), Rapport de Montage (7j). Alerte email envoyée.</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Flux : CF360 Créer Tâches Montage V2</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7</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Ouvrir le Fil d'Activité sur le Dossier de Financement
Vérifier 3 tâches avec les bonnes dates d'échéance</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3 tâches visibles avec assignments et dates d'échéance corrects. Le propriétaire reçoit une notification email.</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Création automatique de tâches confirmée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B2D8E" w:val="clear"/>
            <w:tcMar>
              <w:top w:type="dxa" w:w="140"/>
              <w:left w:type="dxa" w:w="240"/>
              <w:bottom w:type="dxa" w:w="140"/>
              <w:right w:type="dxa" w:w="240"/>
            </w:tcMar>
          </w:tcPr>
          <w:p>
            <w:pPr>
              <w:spacing w:after="30" w:before="0"/>
            </w:pPr>
            <w:r>
              <w:rPr>
                <w:rFonts w:ascii="Arial" w:cs="Arial" w:eastAsia="Arial" w:hAnsi="Arial"/>
                <w:b/>
                <w:bCs/>
                <w:color w:val="FFFFFF"/>
                <w:sz w:val="26"/>
                <w:szCs w:val="26"/>
              </w:rPr>
              <w:t xml:space="preserve">TEST T-04  —  Gestion des Documents — Enforcement Porte Liste de Contrôle</w:t>
            </w:r>
          </w:p>
          <w:p>
            <w:pPr>
              <w:spacing w:after="20" w:before="0"/>
            </w:pPr>
            <w:r>
              <w:rPr>
                <w:rFonts w:ascii="Arial" w:cs="Arial" w:eastAsia="Arial" w:hAnsi="Arial"/>
                <w:color w:val="DDDDDD"/>
                <w:sz w:val="17"/>
                <w:szCs w:val="17"/>
              </w:rPr>
              <w:t xml:space="preserve">🌍 Pays : Ghana  ·  💱 Devise : GHS — Cedi Ghanéen  ·  🏦 Emprunteur : Asante Cocoa Traders Ltd</w:t>
            </w:r>
          </w:p>
          <w:p>
            <w:pPr>
              <w:spacing w:after="0" w:before="0"/>
            </w:pPr>
            <w:r>
              <w:rPr>
                <w:rFonts w:ascii="Arial" w:cs="Arial" w:eastAsia="Arial" w:hAnsi="Arial"/>
                <w:color w:val="DDDDDD"/>
                <w:sz w:val="17"/>
                <w:szCs w:val="17"/>
              </w:rPr>
              <w:t xml:space="preserve">📋 Type de Prêt : Financement Commerce  ·  💰 Montant : 75 000$ (≈ GHS 855 000)  ·  ✅ Approbation : Niveau 1</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5B2D8E" w:val="clear"/>
            <w:tcMar>
              <w:top w:type="dxa" w:w="100"/>
              <w:left w:type="dxa" w:w="160"/>
              <w:bottom w:type="dxa" w:w="100"/>
              <w:right w:type="dxa" w:w="160"/>
            </w:tcMar>
          </w:tcPr>
          <w:p>
            <w:pPr>
              <w:spacing w:after="30" w:before="0"/>
              <w:jc w:val="left"/>
            </w:pPr>
            <w:r>
              <w:rPr>
                <w:rFonts w:ascii="Arial" w:cs="Arial" w:eastAsia="Arial" w:hAnsi="Arial"/>
                <w:b/>
                <w:bCs/>
                <w:i w:val="false"/>
                <w:iCs w:val="false"/>
                <w:color w:val="FFFFFF"/>
                <w:sz w:val="18"/>
                <w:szCs w:val="18"/>
              </w:rPr>
              <w:t xml:space="preserve">👤 Rôle Exécutant ce Test</w:t>
            </w:r>
          </w:p>
          <w:p>
            <w:pPr>
              <w:spacing w:after="0" w:before="0"/>
              <w:jc w:val="left"/>
            </w:pPr>
            <w:r>
              <w:rPr>
                <w:rFonts w:ascii="Arial" w:cs="Arial" w:eastAsia="Arial" w:hAnsi="Arial"/>
                <w:b/>
                <w:bCs/>
                <w:i w:val="false"/>
                <w:iCs w:val="false"/>
                <w:color w:val="FFFFFF"/>
                <w:sz w:val="20"/>
                <w:szCs w:val="20"/>
              </w:rPr>
              <w:t xml:space="preserve">Officier de Conformité</w:t>
            </w:r>
          </w:p>
        </w:tc>
        <w:tc>
          <w:tcPr>
            <w:tcW w:type="dxa" w:w="4680"/>
            <w:tcBorders>
              <w:top w:val="none" w:color="FFFFFF" w:sz="0"/>
              <w:left w:val="none" w:color="FFFFFF" w:sz="0"/>
              <w:bottom w:val="none" w:color="FFFFFF" w:sz="0"/>
              <w:right w:val="none" w:color="FFFFFF" w:sz="0"/>
            </w:tcBorders>
            <w:shd w:fill="F8FAFC" w:val="clear"/>
            <w:tcMar>
              <w:top w:type="dxa" w:w="100"/>
              <w:left w:type="dxa" w:w="160"/>
              <w:bottom w:type="dxa" w:w="100"/>
              <w:right w:type="dxa" w:w="160"/>
            </w:tcMar>
          </w:tcPr>
          <w:p>
            <w:pPr>
              <w:spacing w:after="30" w:before="0"/>
              <w:jc w:val="left"/>
            </w:pPr>
            <w:r>
              <w:rPr>
                <w:rFonts w:ascii="Arial" w:cs="Arial" w:eastAsia="Arial" w:hAnsi="Arial"/>
                <w:b/>
                <w:bCs/>
                <w:i w:val="false"/>
                <w:iCs w:val="false"/>
                <w:color w:val="0D1F3C"/>
                <w:sz w:val="18"/>
                <w:szCs w:val="18"/>
              </w:rPr>
              <w:t xml:space="preserve">Pourquoi ce rôle ?</w:t>
            </w:r>
          </w:p>
          <w:p>
            <w:pPr>
              <w:spacing w:after="0" w:before="0"/>
              <w:jc w:val="left"/>
            </w:pPr>
            <w:r>
              <w:rPr>
                <w:rFonts w:ascii="Arial" w:cs="Arial" w:eastAsia="Arial" w:hAnsi="Arial"/>
                <w:b w:val="false"/>
                <w:bCs w:val="false"/>
                <w:i w:val="false"/>
                <w:iCs w:val="false"/>
                <w:color w:val="000000"/>
                <w:sz w:val="18"/>
                <w:szCs w:val="18"/>
              </w:rPr>
              <w:t xml:space="preserve">L'Officier de Conformité est responsable de vérifier tous les documents obligatoires soumis par l'emprunteur. La Porte Documents empêche le Dossier d'avancer jusqu'à ce que tous les documents Obligatoires soient Approuvés — renforçant le rôle de l'Officier de Conformité comme porte obligatoire dans le processus.</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3"/>
              <w:left w:val="single" w:color="5B2D8E" w:sz="3"/>
              <w:bottom w:val="single" w:color="5B2D8E" w:sz="1"/>
              <w:right w:val="single" w:color="5B2D8E" w:sz="1"/>
            </w:tcBorders>
            <w:shd w:fill="EDE4F8" w:val="clear"/>
            <w:tcMar>
              <w:top w:type="dxa" w:w="120"/>
              <w:left w:type="dxa" w:w="200"/>
              <w:bottom w:type="dxa" w:w="120"/>
              <w:right w:type="dxa" w:w="200"/>
            </w:tcMar>
          </w:tcPr>
          <w:p>
            <w:pPr>
              <w:spacing w:after="60" w:before="0"/>
              <w:jc w:val="left"/>
            </w:pPr>
            <w:r>
              <w:rPr>
                <w:rFonts w:ascii="Arial" w:cs="Arial" w:eastAsia="Arial" w:hAnsi="Arial"/>
                <w:b/>
                <w:bCs/>
                <w:i w:val="false"/>
                <w:iCs w:val="false"/>
                <w:color w:val="5B2D8E"/>
                <w:sz w:val="19"/>
                <w:szCs w:val="19"/>
              </w:rPr>
              <w:t xml:space="preserve">Ce que ce test valide</w:t>
            </w:r>
          </w:p>
          <w:p>
            <w:pPr>
              <w:pStyle w:val="ListParagraph"/>
              <w:numPr>
                <w:ilvl w:val="0"/>
                <w:numId w:val="2"/>
              </w:numPr>
              <w:spacing w:after="30" w:before="30"/>
            </w:pPr>
            <w:r>
              <w:rPr>
                <w:rFonts w:ascii="Arial" w:cs="Arial" w:eastAsia="Arial" w:hAnsi="Arial"/>
                <w:b w:val="false"/>
                <w:bCs w:val="false"/>
                <w:color w:val="000000"/>
                <w:sz w:val="19"/>
                <w:szCs w:val="19"/>
              </w:rPr>
              <w:t xml:space="preserve">Création de Document de Prêt avec dépendance de champ Type de Document sur Type de Prêt</w:t>
            </w:r>
          </w:p>
          <w:p>
            <w:pPr>
              <w:pStyle w:val="ListParagraph"/>
              <w:numPr>
                <w:ilvl w:val="0"/>
                <w:numId w:val="2"/>
              </w:numPr>
              <w:spacing w:after="30" w:before="30"/>
            </w:pPr>
            <w:r>
              <w:rPr>
                <w:rFonts w:ascii="Arial" w:cs="Arial" w:eastAsia="Arial" w:hAnsi="Arial"/>
                <w:b w:val="false"/>
                <w:bCs w:val="false"/>
                <w:color w:val="000000"/>
                <w:sz w:val="19"/>
                <w:szCs w:val="19"/>
              </w:rPr>
              <w:t xml:space="preserve">La Porte Documents bloque l'avancement de l'étape si les docs Obligatoires ne sont pas Approuvés</w:t>
            </w:r>
          </w:p>
          <w:p>
            <w:pPr>
              <w:pStyle w:val="ListParagraph"/>
              <w:numPr>
                <w:ilvl w:val="0"/>
                <w:numId w:val="2"/>
              </w:numPr>
              <w:spacing w:after="30" w:before="30"/>
            </w:pPr>
            <w:r>
              <w:rPr>
                <w:rFonts w:ascii="Arial" w:cs="Arial" w:eastAsia="Arial" w:hAnsi="Arial"/>
                <w:b w:val="false"/>
                <w:bCs w:val="false"/>
                <w:color w:val="000000"/>
                <w:sz w:val="19"/>
                <w:szCs w:val="19"/>
              </w:rPr>
              <w:t xml:space="preserve">L'Officier de Conformité approuve les documents — seul lui peut définir Statut = Approuvé</w:t>
            </w:r>
          </w:p>
          <w:p>
            <w:pPr>
              <w:pStyle w:val="ListParagraph"/>
              <w:numPr>
                <w:ilvl w:val="0"/>
                <w:numId w:val="2"/>
              </w:numPr>
              <w:spacing w:after="30" w:before="30"/>
            </w:pPr>
            <w:r>
              <w:rPr>
                <w:rFonts w:ascii="Arial" w:cs="Arial" w:eastAsia="Arial" w:hAnsi="Arial"/>
                <w:b w:val="false"/>
                <w:bCs w:val="false"/>
                <w:color w:val="000000"/>
                <w:sz w:val="19"/>
                <w:szCs w:val="19"/>
              </w:rPr>
              <w:t xml:space="preserve">Le Journal d'Audit enregistre chaque changement de statut de document</w:t>
            </w:r>
          </w:p>
          <w:p>
            <w:pPr>
              <w:pStyle w:val="ListParagraph"/>
              <w:numPr>
                <w:ilvl w:val="0"/>
                <w:numId w:val="2"/>
              </w:numPr>
              <w:spacing w:after="30" w:before="30"/>
            </w:pPr>
            <w:r>
              <w:rPr>
                <w:rFonts w:ascii="Arial" w:cs="Arial" w:eastAsia="Arial" w:hAnsi="Arial"/>
                <w:b w:val="false"/>
                <w:bCs w:val="false"/>
                <w:color w:val="000000"/>
                <w:sz w:val="19"/>
                <w:szCs w:val="19"/>
              </w:rPr>
              <w:t xml:space="preserve">Une fois tous les docs Obligatoires Approuvés, la porte se lève automatiquement</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560"/>
        <w:gridCol w:w="3200"/>
        <w:gridCol w:w="2200"/>
      </w:tblGrid>
      <w:tr>
        <w:tc>
          <w:tcPr>
            <w:tcW w:type="dxa" w:w="4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center"/>
            </w:pPr>
            <w:r>
              <w:rPr>
                <w:rFonts w:ascii="Arial" w:cs="Arial" w:eastAsia="Arial" w:hAnsi="Arial"/>
                <w:b/>
                <w:bCs/>
                <w:i w:val="false"/>
                <w:iCs w:val="false"/>
                <w:color w:val="FFFFFF"/>
                <w:sz w:val="19"/>
                <w:szCs w:val="19"/>
              </w:rPr>
              <w:t xml:space="preserve">Étape</w:t>
            </w:r>
          </w:p>
        </w:tc>
        <w:tc>
          <w:tcPr>
            <w:tcW w:type="dxa" w:w="356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Action</w:t>
            </w:r>
          </w:p>
        </w:tc>
        <w:tc>
          <w:tcPr>
            <w:tcW w:type="dxa" w:w="32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Résultat Attendu</w:t>
            </w:r>
          </w:p>
        </w:tc>
        <w:tc>
          <w:tcPr>
            <w:tcW w:type="dxa" w:w="22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Porte / Règle</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1</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Ouvrir le Dossier de Financement pour Asante Cocoa Traders Ltd
Naviguer vers la liste liée Documents de Prêt → Nouveau
Type de Prêt : Financement Commerce
Observer la liste Type de Document</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La liste Type de Document se filtre automatiquement pour n'afficher que les types valides pour les deals de Financement Commerce.</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Dépendance de Champ : Type de Prêt contrôle Type de Document</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2</w:t>
            </w:r>
          </w:p>
        </w:tc>
        <w:tc>
          <w:tcPr>
            <w:tcW w:type="dxa" w:w="3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Créer 3 Documents de Prêt :
1. Type = Identification, Obligatoire = ✅
2. Type = Relevé Financier, Obligatoire = ✅
3. Type = Licence Commerciale, Obligatoire = ✅
Tous avec Statut = Reçu → Enregistrer chacun</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3 documents créés avec Statut = Reçu. Tous marqués comme Obligatoires.</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3</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Retourner au Dossier de Financement
Essayer d'avancer Étape de Montage → Approuvé → Enregistrer</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BLOQUÉ. La Porte Documents se déclenche : "Les documents Obligatoires doivent être Approuvés avant que ce Dossier puisse avancer."</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Flux Porte : Doc Checklist Gate V1</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4</w:t>
            </w:r>
          </w:p>
        </w:tc>
        <w:tc>
          <w:tcPr>
            <w:tcW w:type="dxa" w:w="3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Ouvrir le Document de Prêt #1 (Identification)
Définir Statut = En Révision → Enregistrer
Observer le Journal d'Audit</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Enregistrement Journal d'Audit créé : Type d'Événement = Changement Statut Document, Ancienne Valeur = Reçu, Nouvelle Valeur = En Révision.</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Flux : Journal Changement Statut Document V1</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5</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Définir Statut Document #1 = Approuvé
Répéter pour Documents #2 et #3</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Les 3 documents affichent maintenant Statut = Approuvé. La condition Porte Documents est levée.</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6</w:t>
            </w:r>
          </w:p>
        </w:tc>
        <w:tc>
          <w:tcPr>
            <w:tcW w:type="dxa" w:w="3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Retourner au Dossier de Financement → avancer Étape vers Approuvé → Enregistrer</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L'Étape avance avec succès. La porte ne bloque plus. Les règles de validation vérifient la Date d'Approbation et la Date d'Expiration.</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Règles de Validation : Date Approbation + Date Expiration requises</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7</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Saisir Date d'Approbation = aujourd'hui
Date d'Expiration = aujourd'hui + 90 jours → Enregistrer</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Le Dossier de Financement est sauvegardé à Approuvé. 2 tâches post-approbation créées automatiquement.</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Flux : CF360 Créer Tâches Approbation V1</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4532D" w:val="clear"/>
            <w:tcMar>
              <w:top w:type="dxa" w:w="140"/>
              <w:left w:type="dxa" w:w="240"/>
              <w:bottom w:type="dxa" w:w="140"/>
              <w:right w:type="dxa" w:w="240"/>
            </w:tcMar>
          </w:tcPr>
          <w:p>
            <w:pPr>
              <w:spacing w:after="30" w:before="0"/>
            </w:pPr>
            <w:r>
              <w:rPr>
                <w:rFonts w:ascii="Arial" w:cs="Arial" w:eastAsia="Arial" w:hAnsi="Arial"/>
                <w:b/>
                <w:bCs/>
                <w:color w:val="FFFFFF"/>
                <w:sz w:val="26"/>
                <w:szCs w:val="26"/>
              </w:rPr>
              <w:t xml:space="preserve">TEST T-05  —  Mémo de Crédit &amp; Approbation Niveau 1</w:t>
            </w:r>
          </w:p>
          <w:p>
            <w:pPr>
              <w:spacing w:after="20" w:before="0"/>
            </w:pPr>
            <w:r>
              <w:rPr>
                <w:rFonts w:ascii="Arial" w:cs="Arial" w:eastAsia="Arial" w:hAnsi="Arial"/>
                <w:color w:val="DDDDDD"/>
                <w:sz w:val="17"/>
                <w:szCs w:val="17"/>
              </w:rPr>
              <w:t xml:space="preserve">🌍 Pays : Côte d'Ivoire  ·  💱 Devise : XOF — CFA Franc BCEAO  ·  🏦 Emprunteur : Kouyaté Agro Processing SARL</w:t>
            </w:r>
          </w:p>
          <w:p>
            <w:pPr>
              <w:spacing w:after="0" w:before="0"/>
            </w:pPr>
            <w:r>
              <w:rPr>
                <w:rFonts w:ascii="Arial" w:cs="Arial" w:eastAsia="Arial" w:hAnsi="Arial"/>
                <w:color w:val="DDDDDD"/>
                <w:sz w:val="17"/>
                <w:szCs w:val="17"/>
              </w:rPr>
              <w:t xml:space="preserve">📋 Type de Prêt : Fonds de Roulement  ·  💰 Montant : 45 000$ (≈ XOF 25 380 000)  ·  ✅ Approbation : Niveau 1</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14532D" w:val="clear"/>
            <w:tcMar>
              <w:top w:type="dxa" w:w="100"/>
              <w:left w:type="dxa" w:w="160"/>
              <w:bottom w:type="dxa" w:w="100"/>
              <w:right w:type="dxa" w:w="160"/>
            </w:tcMar>
          </w:tcPr>
          <w:p>
            <w:pPr>
              <w:spacing w:after="30" w:before="0"/>
              <w:jc w:val="left"/>
            </w:pPr>
            <w:r>
              <w:rPr>
                <w:rFonts w:ascii="Arial" w:cs="Arial" w:eastAsia="Arial" w:hAnsi="Arial"/>
                <w:b/>
                <w:bCs/>
                <w:i w:val="false"/>
                <w:iCs w:val="false"/>
                <w:color w:val="FFFFFF"/>
                <w:sz w:val="18"/>
                <w:szCs w:val="18"/>
              </w:rPr>
              <w:t xml:space="preserve">👤 Rôle Exécutant ce Test</w:t>
            </w:r>
          </w:p>
          <w:p>
            <w:pPr>
              <w:spacing w:after="0" w:before="0"/>
              <w:jc w:val="left"/>
            </w:pPr>
            <w:r>
              <w:rPr>
                <w:rFonts w:ascii="Arial" w:cs="Arial" w:eastAsia="Arial" w:hAnsi="Arial"/>
                <w:b/>
                <w:bCs/>
                <w:i w:val="false"/>
                <w:iCs w:val="false"/>
                <w:color w:val="FFFFFF"/>
                <w:sz w:val="20"/>
                <w:szCs w:val="20"/>
              </w:rPr>
              <w:t xml:space="preserve">Chargé de Crédit (rédige) → Chargée de Crédit Sénior — Ngozi Adeyemi (approuve)</w:t>
            </w:r>
          </w:p>
        </w:tc>
        <w:tc>
          <w:tcPr>
            <w:tcW w:type="dxa" w:w="4680"/>
            <w:tcBorders>
              <w:top w:val="none" w:color="FFFFFF" w:sz="0"/>
              <w:left w:val="none" w:color="FFFFFF" w:sz="0"/>
              <w:bottom w:val="none" w:color="FFFFFF" w:sz="0"/>
              <w:right w:val="none" w:color="FFFFFF" w:sz="0"/>
            </w:tcBorders>
            <w:shd w:fill="F8FAFC" w:val="clear"/>
            <w:tcMar>
              <w:top w:type="dxa" w:w="100"/>
              <w:left w:type="dxa" w:w="160"/>
              <w:bottom w:type="dxa" w:w="100"/>
              <w:right w:type="dxa" w:w="160"/>
            </w:tcMar>
          </w:tcPr>
          <w:p>
            <w:pPr>
              <w:spacing w:after="30" w:before="0"/>
              <w:jc w:val="left"/>
            </w:pPr>
            <w:r>
              <w:rPr>
                <w:rFonts w:ascii="Arial" w:cs="Arial" w:eastAsia="Arial" w:hAnsi="Arial"/>
                <w:b/>
                <w:bCs/>
                <w:i w:val="false"/>
                <w:iCs w:val="false"/>
                <w:color w:val="0D1F3C"/>
                <w:sz w:val="18"/>
                <w:szCs w:val="18"/>
              </w:rPr>
              <w:t xml:space="preserve">Pourquoi ce rôle ?</w:t>
            </w:r>
          </w:p>
          <w:p>
            <w:pPr>
              <w:spacing w:after="0" w:before="0"/>
              <w:jc w:val="left"/>
            </w:pPr>
            <w:r>
              <w:rPr>
                <w:rFonts w:ascii="Arial" w:cs="Arial" w:eastAsia="Arial" w:hAnsi="Arial"/>
                <w:b w:val="false"/>
                <w:bCs w:val="false"/>
                <w:i w:val="false"/>
                <w:iCs w:val="false"/>
                <w:color w:val="000000"/>
                <w:sz w:val="18"/>
                <w:szCs w:val="18"/>
              </w:rPr>
              <w:t xml:space="preserve">Le Chargé de Crédit rédige le Mémo de Crédit — le document formel d'analyse crédit. Une fois soumis, il se verrouille et route vers la Chargée de Crédit Sénior (Niveau 1) pour approbation. Ce test montre le transfert entre les deux rôles crédit.</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3"/>
              <w:left w:val="single" w:color="14532D" w:sz="3"/>
              <w:bottom w:val="single" w:color="14532D" w:sz="1"/>
              <w:right w:val="single" w:color="14532D" w:sz="1"/>
            </w:tcBorders>
            <w:shd w:fill="DCFCE7" w:val="clear"/>
            <w:tcMar>
              <w:top w:type="dxa" w:w="120"/>
              <w:left w:type="dxa" w:w="200"/>
              <w:bottom w:type="dxa" w:w="120"/>
              <w:right w:type="dxa" w:w="200"/>
            </w:tcMar>
          </w:tcPr>
          <w:p>
            <w:pPr>
              <w:spacing w:after="60" w:before="0"/>
              <w:jc w:val="left"/>
            </w:pPr>
            <w:r>
              <w:rPr>
                <w:rFonts w:ascii="Arial" w:cs="Arial" w:eastAsia="Arial" w:hAnsi="Arial"/>
                <w:b/>
                <w:bCs/>
                <w:i w:val="false"/>
                <w:iCs w:val="false"/>
                <w:color w:val="14532D"/>
                <w:sz w:val="19"/>
                <w:szCs w:val="19"/>
              </w:rPr>
              <w:t xml:space="preserve">Ce que ce test valide</w:t>
            </w:r>
          </w:p>
          <w:p>
            <w:pPr>
              <w:pStyle w:val="ListParagraph"/>
              <w:numPr>
                <w:ilvl w:val="0"/>
                <w:numId w:val="2"/>
              </w:numPr>
              <w:spacing w:after="30" w:before="30"/>
            </w:pPr>
            <w:r>
              <w:rPr>
                <w:rFonts w:ascii="Arial" w:cs="Arial" w:eastAsia="Arial" w:hAnsi="Arial"/>
                <w:b w:val="false"/>
                <w:bCs w:val="false"/>
                <w:color w:val="000000"/>
                <w:sz w:val="19"/>
                <w:szCs w:val="19"/>
              </w:rPr>
              <w:t xml:space="preserve">Le Dossier ne peut pas avancer à la Révision Crédit sans Mémo de Crédit — porte d'étape appliquée</w:t>
            </w:r>
          </w:p>
          <w:p>
            <w:pPr>
              <w:pStyle w:val="ListParagraph"/>
              <w:numPr>
                <w:ilvl w:val="0"/>
                <w:numId w:val="2"/>
              </w:numPr>
              <w:spacing w:after="30" w:before="30"/>
            </w:pPr>
            <w:r>
              <w:rPr>
                <w:rFonts w:ascii="Arial" w:cs="Arial" w:eastAsia="Arial" w:hAnsi="Arial"/>
                <w:b w:val="false"/>
                <w:bCs w:val="false"/>
                <w:color w:val="000000"/>
                <w:sz w:val="19"/>
                <w:szCs w:val="19"/>
              </w:rPr>
              <w:t xml:space="preserve">Création du Mémo de Crédit avec les 7 sections</w:t>
            </w:r>
          </w:p>
          <w:p>
            <w:pPr>
              <w:pStyle w:val="ListParagraph"/>
              <w:numPr>
                <w:ilvl w:val="0"/>
                <w:numId w:val="2"/>
              </w:numPr>
              <w:spacing w:after="30" w:before="30"/>
            </w:pPr>
            <w:r>
              <w:rPr>
                <w:rFonts w:ascii="Arial" w:cs="Arial" w:eastAsia="Arial" w:hAnsi="Arial"/>
                <w:b w:val="false"/>
                <w:bCs w:val="false"/>
                <w:color w:val="000000"/>
                <w:sz w:val="19"/>
                <w:szCs w:val="19"/>
              </w:rPr>
              <w:t xml:space="preserve">La soumission verrouille le mémo — aucune modification après soumission</w:t>
            </w:r>
          </w:p>
          <w:p>
            <w:pPr>
              <w:pStyle w:val="ListParagraph"/>
              <w:numPr>
                <w:ilvl w:val="0"/>
                <w:numId w:val="2"/>
              </w:numPr>
              <w:spacing w:after="30" w:before="30"/>
            </w:pPr>
            <w:r>
              <w:rPr>
                <w:rFonts w:ascii="Arial" w:cs="Arial" w:eastAsia="Arial" w:hAnsi="Arial"/>
                <w:b w:val="false"/>
                <w:bCs w:val="false"/>
                <w:color w:val="000000"/>
                <w:sz w:val="19"/>
                <w:szCs w:val="19"/>
              </w:rPr>
              <w:t xml:space="preserve">Le processus d'approbation route correctement au Niveau 1 (≤500K$, Indicateur Comité = Faux)</w:t>
            </w:r>
          </w:p>
          <w:p>
            <w:pPr>
              <w:pStyle w:val="ListParagraph"/>
              <w:numPr>
                <w:ilvl w:val="0"/>
                <w:numId w:val="2"/>
              </w:numPr>
              <w:spacing w:after="30" w:before="30"/>
            </w:pPr>
            <w:r>
              <w:rPr>
                <w:rFonts w:ascii="Arial" w:cs="Arial" w:eastAsia="Arial" w:hAnsi="Arial"/>
                <w:b w:val="false"/>
                <w:bCs w:val="false"/>
                <w:color w:val="000000"/>
                <w:sz w:val="19"/>
                <w:szCs w:val="19"/>
              </w:rPr>
              <w:t xml:space="preserve">La Chargée de Crédit Sénior approuve — le Dossier avance</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560"/>
        <w:gridCol w:w="3200"/>
        <w:gridCol w:w="2200"/>
      </w:tblGrid>
      <w:tr>
        <w:tc>
          <w:tcPr>
            <w:tcW w:type="dxa" w:w="4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center"/>
            </w:pPr>
            <w:r>
              <w:rPr>
                <w:rFonts w:ascii="Arial" w:cs="Arial" w:eastAsia="Arial" w:hAnsi="Arial"/>
                <w:b/>
                <w:bCs/>
                <w:i w:val="false"/>
                <w:iCs w:val="false"/>
                <w:color w:val="FFFFFF"/>
                <w:sz w:val="19"/>
                <w:szCs w:val="19"/>
              </w:rPr>
              <w:t xml:space="preserve">Étape</w:t>
            </w:r>
          </w:p>
        </w:tc>
        <w:tc>
          <w:tcPr>
            <w:tcW w:type="dxa" w:w="356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Action</w:t>
            </w:r>
          </w:p>
        </w:tc>
        <w:tc>
          <w:tcPr>
            <w:tcW w:type="dxa" w:w="32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Résultat Attendu</w:t>
            </w:r>
          </w:p>
        </w:tc>
        <w:tc>
          <w:tcPr>
            <w:tcW w:type="dxa" w:w="22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Porte / Règle</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1</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Dossier de Financement à l'étape Montage
Essayer d'avancer Étape vers Révision Crédit → Enregistrer</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BLOQUÉ. Erreur : "Un Mémo de Crédit doit être créé et lié avant d'avancer à la Révision Crédit."</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Porte Étape : CF360 Bloquer Révision Sans Mémo V2</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2</w:t>
            </w:r>
          </w:p>
        </w:tc>
        <w:tc>
          <w:tcPr>
            <w:tcW w:type="dxa" w:w="3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Naviguer vers la liste liée Mémos de Crédit → Nouveau
Remplir les 7 sections :
1. Résumé Emprunteur
2. Résumé Demande de Crédit
3. Résumé des Risques
4. Résumé des Garanties
5. Résumé des Covenants
6. Résumé des Documents
7. Justification Finale</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Enregistrement Mémo de Crédit créé avec toutes les sections remplies. Statut = Brouillon.</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3</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Définir Recommandation = Approuver
Définir Statut Mémo = Soumis
Cliquer Soumettre pour Approbation</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Le Mémo de Crédit se verrouille immédiatement — plus aucune modification possible. Email de demande d'approbation envoyé à l'approbateur Niveau 1 (Ngozi Adeyemi).</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Processus Approbation : CF360 Processus Approbation Mémo de Crédit V3</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4</w:t>
            </w:r>
          </w:p>
        </w:tc>
        <w:tc>
          <w:tcPr>
            <w:tcW w:type="dxa" w:w="3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Retourner au Dossier → avancer Étape à Révision Crédit → Enregistrer</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L'Étape avance à Révision Crédit. 2 tâches créées automatiquement : Révision Crédit (3j), Évaluation des Risques (5j). Alerte email envoyée.</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Flux : CF360 Créer Tâches Révision Crédit V2</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5</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Se connecter en tant que Ngozi Adeyemi (Chargée de Crédit Sénior)
Ouvrir la Demande d'Approbation depuis la page d'accueil
Examiner le Mémo de Crédit verrouillé</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Demande d'approbation visible. Le Mémo de Crédit est en lecture seule. Ngozi peut voir les 7 sections.</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6</w:t>
            </w:r>
          </w:p>
        </w:tc>
        <w:tc>
          <w:tcPr>
            <w:tcW w:type="dxa" w:w="3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Cliquer Approuver avec commentaire : "Profil de risque acceptable. Recommande de poursuivre vers l'approbation du Dossier."</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Approbation du Mémo de Crédit confirmée. Statut mis à jour. Le processus d'approbation du Dossier de Financement est maintenant disponible.</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Approbation Niveau 1 complète</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7</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Soumettre le Dossier de Financement pour approbation
Vérifier le routage : Montant Total = 45K$, Indicateur Comité = Faux</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Le Dossier route vers Ngozi Adeyemi (Niveau 1 — ≤500K$, pas un deal comité). Routage correct confirmé.</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Processus Approbation : CF360 Processus Approbation Dossier de Financement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F3C" w:val="clear"/>
            <w:tcMar>
              <w:top w:type="dxa" w:w="140"/>
              <w:left w:type="dxa" w:w="240"/>
              <w:bottom w:type="dxa" w:w="140"/>
              <w:right w:type="dxa" w:w="240"/>
            </w:tcMar>
          </w:tcPr>
          <w:p>
            <w:pPr>
              <w:spacing w:after="30" w:before="0"/>
            </w:pPr>
            <w:r>
              <w:rPr>
                <w:rFonts w:ascii="Arial" w:cs="Arial" w:eastAsia="Arial" w:hAnsi="Arial"/>
                <w:b/>
                <w:bCs/>
                <w:color w:val="FFFFFF"/>
                <w:sz w:val="26"/>
                <w:szCs w:val="26"/>
              </w:rPr>
              <w:t xml:space="preserve">TEST T-06  —  Approbation Multi-Niveaux — Routage N1 → N2 → N3</w:t>
            </w:r>
          </w:p>
          <w:p>
            <w:pPr>
              <w:spacing w:after="20" w:before="0"/>
            </w:pPr>
            <w:r>
              <w:rPr>
                <w:rFonts w:ascii="Arial" w:cs="Arial" w:eastAsia="Arial" w:hAnsi="Arial"/>
                <w:color w:val="DDDDDD"/>
                <w:sz w:val="17"/>
                <w:szCs w:val="17"/>
              </w:rPr>
              <w:t xml:space="preserve">🌍 Pays : Kenya  ·  💱 Devise : KES — Shilling Kényan  ·  🏦 Emprunteur : Nairobi Trade Finance Ltd</w:t>
            </w:r>
          </w:p>
          <w:p>
            <w:pPr>
              <w:spacing w:after="0" w:before="0"/>
            </w:pPr>
            <w:r>
              <w:rPr>
                <w:rFonts w:ascii="Arial" w:cs="Arial" w:eastAsia="Arial" w:hAnsi="Arial"/>
                <w:color w:val="DDDDDD"/>
                <w:sz w:val="17"/>
                <w:szCs w:val="17"/>
              </w:rPr>
              <w:t xml:space="preserve">📋 Type de Prêt : Financement Commerce  ·  💰 Montant : 1 200 000$ (≈ KES 154 800 000)  ·  ✅ Approbation : Niveau 2 → Niveau 3</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0D1F3C" w:val="clear"/>
            <w:tcMar>
              <w:top w:type="dxa" w:w="100"/>
              <w:left w:type="dxa" w:w="160"/>
              <w:bottom w:type="dxa" w:w="100"/>
              <w:right w:type="dxa" w:w="160"/>
            </w:tcMar>
          </w:tcPr>
          <w:p>
            <w:pPr>
              <w:spacing w:after="30" w:before="0"/>
              <w:jc w:val="left"/>
            </w:pPr>
            <w:r>
              <w:rPr>
                <w:rFonts w:ascii="Arial" w:cs="Arial" w:eastAsia="Arial" w:hAnsi="Arial"/>
                <w:b/>
                <w:bCs/>
                <w:i w:val="false"/>
                <w:iCs w:val="false"/>
                <w:color w:val="FFFFFF"/>
                <w:sz w:val="18"/>
                <w:szCs w:val="18"/>
              </w:rPr>
              <w:t xml:space="preserve">👤 Rôle Exécutant ce Test</w:t>
            </w:r>
          </w:p>
          <w:p>
            <w:pPr>
              <w:spacing w:after="0" w:before="0"/>
              <w:jc w:val="left"/>
            </w:pPr>
            <w:r>
              <w:rPr>
                <w:rFonts w:ascii="Arial" w:cs="Arial" w:eastAsia="Arial" w:hAnsi="Arial"/>
                <w:b/>
                <w:bCs/>
                <w:i w:val="false"/>
                <w:iCs w:val="false"/>
                <w:color w:val="FFFFFF"/>
                <w:sz w:val="20"/>
                <w:szCs w:val="20"/>
              </w:rPr>
              <w:t xml:space="preserve">CCS (N1) → Kwame Asante DR (N2) → Fatima Diallo DF (N3)</w:t>
            </w:r>
          </w:p>
        </w:tc>
        <w:tc>
          <w:tcPr>
            <w:tcW w:type="dxa" w:w="4680"/>
            <w:tcBorders>
              <w:top w:val="none" w:color="FFFFFF" w:sz="0"/>
              <w:left w:val="none" w:color="FFFFFF" w:sz="0"/>
              <w:bottom w:val="none" w:color="FFFFFF" w:sz="0"/>
              <w:right w:val="none" w:color="FFFFFF" w:sz="0"/>
            </w:tcBorders>
            <w:shd w:fill="F8FAFC" w:val="clear"/>
            <w:tcMar>
              <w:top w:type="dxa" w:w="100"/>
              <w:left w:type="dxa" w:w="160"/>
              <w:bottom w:type="dxa" w:w="100"/>
              <w:right w:type="dxa" w:w="160"/>
            </w:tcMar>
          </w:tcPr>
          <w:p>
            <w:pPr>
              <w:spacing w:after="30" w:before="0"/>
              <w:jc w:val="left"/>
            </w:pPr>
            <w:r>
              <w:rPr>
                <w:rFonts w:ascii="Arial" w:cs="Arial" w:eastAsia="Arial" w:hAnsi="Arial"/>
                <w:b/>
                <w:bCs/>
                <w:i w:val="false"/>
                <w:iCs w:val="false"/>
                <w:color w:val="0D1F3C"/>
                <w:sz w:val="18"/>
                <w:szCs w:val="18"/>
              </w:rPr>
              <w:t xml:space="preserve">Pourquoi ce rôle ?</w:t>
            </w:r>
          </w:p>
          <w:p>
            <w:pPr>
              <w:spacing w:after="0" w:before="0"/>
              <w:jc w:val="left"/>
            </w:pPr>
            <w:r>
              <w:rPr>
                <w:rFonts w:ascii="Arial" w:cs="Arial" w:eastAsia="Arial" w:hAnsi="Arial"/>
                <w:b w:val="false"/>
                <w:bCs w:val="false"/>
                <w:i w:val="false"/>
                <w:iCs w:val="false"/>
                <w:color w:val="000000"/>
                <w:sz w:val="18"/>
                <w:szCs w:val="18"/>
              </w:rPr>
              <w:t xml:space="preserve">Ce deal est à 1,2M$ — au-dessus du seuil Niveau 1 (500K$) mais en dessous du Niveau 3 (2M$). Il route directement au Niveau 2 (DR). Ce test valide que la logique de routage saute correctement le Niveau 1.</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3"/>
              <w:left w:val="single" w:color="1A56DB" w:sz="3"/>
              <w:bottom w:val="single" w:color="1A56DB" w:sz="1"/>
              <w:right w:val="single" w:color="1A56DB" w:sz="1"/>
            </w:tcBorders>
            <w:shd w:fill="EBF2FF" w:val="clear"/>
            <w:tcMar>
              <w:top w:type="dxa" w:w="120"/>
              <w:left w:type="dxa" w:w="200"/>
              <w:bottom w:type="dxa" w:w="120"/>
              <w:right w:type="dxa" w:w="200"/>
            </w:tcMar>
          </w:tcPr>
          <w:p>
            <w:pPr>
              <w:spacing w:after="60" w:before="0"/>
              <w:jc w:val="left"/>
            </w:pPr>
            <w:r>
              <w:rPr>
                <w:rFonts w:ascii="Arial" w:cs="Arial" w:eastAsia="Arial" w:hAnsi="Arial"/>
                <w:b/>
                <w:bCs/>
                <w:i w:val="false"/>
                <w:iCs w:val="false"/>
                <w:color w:val="1A56DB"/>
                <w:sz w:val="19"/>
                <w:szCs w:val="19"/>
              </w:rPr>
              <w:t xml:space="preserve">Ce que ce test valide</w:t>
            </w:r>
          </w:p>
          <w:p>
            <w:pPr>
              <w:pStyle w:val="ListParagraph"/>
              <w:numPr>
                <w:ilvl w:val="0"/>
                <w:numId w:val="2"/>
              </w:numPr>
              <w:spacing w:after="30" w:before="30"/>
            </w:pPr>
            <w:r>
              <w:rPr>
                <w:rFonts w:ascii="Arial" w:cs="Arial" w:eastAsia="Arial" w:hAnsi="Arial"/>
                <w:b w:val="false"/>
                <w:bCs w:val="false"/>
                <w:color w:val="000000"/>
                <w:sz w:val="19"/>
                <w:szCs w:val="19"/>
              </w:rPr>
              <w:t xml:space="preserve">Le Niveau 1 est SAUTÉ — 1,2M$ dépasse le seuil de 500K$ du Niveau 1</w:t>
            </w:r>
          </w:p>
          <w:p>
            <w:pPr>
              <w:pStyle w:val="ListParagraph"/>
              <w:numPr>
                <w:ilvl w:val="0"/>
                <w:numId w:val="2"/>
              </w:numPr>
              <w:spacing w:after="30" w:before="30"/>
            </w:pPr>
            <w:r>
              <w:rPr>
                <w:rFonts w:ascii="Arial" w:cs="Arial" w:eastAsia="Arial" w:hAnsi="Arial"/>
                <w:b w:val="false"/>
                <w:bCs w:val="false"/>
                <w:color w:val="000000"/>
                <w:sz w:val="19"/>
                <w:szCs w:val="19"/>
              </w:rPr>
              <w:t xml:space="preserve">Route directement au Niveau 2 — DR Kwame Asante</w:t>
            </w:r>
          </w:p>
          <w:p>
            <w:pPr>
              <w:pStyle w:val="ListParagraph"/>
              <w:numPr>
                <w:ilvl w:val="0"/>
                <w:numId w:val="2"/>
              </w:numPr>
              <w:spacing w:after="30" w:before="30"/>
            </w:pPr>
            <w:r>
              <w:rPr>
                <w:rFonts w:ascii="Arial" w:cs="Arial" w:eastAsia="Arial" w:hAnsi="Arial"/>
                <w:b w:val="false"/>
                <w:bCs w:val="false"/>
                <w:color w:val="000000"/>
                <w:sz w:val="19"/>
                <w:szCs w:val="19"/>
              </w:rPr>
              <w:t xml:space="preserve">Après approbation N2, route au Niveau 3 — DF Fatima Diallo pour signature finale</w:t>
            </w:r>
          </w:p>
          <w:p>
            <w:pPr>
              <w:pStyle w:val="ListParagraph"/>
              <w:numPr>
                <w:ilvl w:val="0"/>
                <w:numId w:val="2"/>
              </w:numPr>
              <w:spacing w:after="30" w:before="30"/>
            </w:pPr>
            <w:r>
              <w:rPr>
                <w:rFonts w:ascii="Arial" w:cs="Arial" w:eastAsia="Arial" w:hAnsi="Arial"/>
                <w:b w:val="false"/>
                <w:bCs w:val="false"/>
                <w:color w:val="000000"/>
                <w:sz w:val="19"/>
                <w:szCs w:val="19"/>
              </w:rPr>
              <w:t xml:space="preserve">L'enregistrement reste verrouillé tout au long du processus d'approbation</w:t>
            </w:r>
          </w:p>
          <w:p>
            <w:pPr>
              <w:pStyle w:val="ListParagraph"/>
              <w:numPr>
                <w:ilvl w:val="0"/>
                <w:numId w:val="2"/>
              </w:numPr>
              <w:spacing w:after="30" w:before="30"/>
            </w:pPr>
            <w:r>
              <w:rPr>
                <w:rFonts w:ascii="Arial" w:cs="Arial" w:eastAsia="Arial" w:hAnsi="Arial"/>
                <w:b w:val="false"/>
                <w:bCs w:val="false"/>
                <w:color w:val="000000"/>
                <w:sz w:val="19"/>
                <w:szCs w:val="19"/>
              </w:rPr>
              <w:t xml:space="preserve">Étape = Approuvé seulement après approbation du niveau final</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560"/>
        <w:gridCol w:w="3200"/>
        <w:gridCol w:w="2200"/>
      </w:tblGrid>
      <w:tr>
        <w:tc>
          <w:tcPr>
            <w:tcW w:type="dxa" w:w="4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center"/>
            </w:pPr>
            <w:r>
              <w:rPr>
                <w:rFonts w:ascii="Arial" w:cs="Arial" w:eastAsia="Arial" w:hAnsi="Arial"/>
                <w:b/>
                <w:bCs/>
                <w:i w:val="false"/>
                <w:iCs w:val="false"/>
                <w:color w:val="FFFFFF"/>
                <w:sz w:val="19"/>
                <w:szCs w:val="19"/>
              </w:rPr>
              <w:t xml:space="preserve">Étape</w:t>
            </w:r>
          </w:p>
        </w:tc>
        <w:tc>
          <w:tcPr>
            <w:tcW w:type="dxa" w:w="356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Action</w:t>
            </w:r>
          </w:p>
        </w:tc>
        <w:tc>
          <w:tcPr>
            <w:tcW w:type="dxa" w:w="32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Résultat Attendu</w:t>
            </w:r>
          </w:p>
        </w:tc>
        <w:tc>
          <w:tcPr>
            <w:tcW w:type="dxa" w:w="22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Porte / Règle</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1</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Dossier de Financement pour Nairobi Trade Finance Ltd
Montant Total = 1 200 000
Indicateur Comité = Faux (décoché)
Tous prérequis remplis : Facilité, Mémo, Documents
Soumettre pour Approbation</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Processus d'approbation initié. Le système évalue : Montant Total &gt; 500K$ → SAUTER Niveau 1. Route directement au Niveau 2 — Kwame Asante (DR).</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Routage : Montant &gt; 500K$ saute le Niveau 1</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2</w:t>
            </w:r>
          </w:p>
        </w:tc>
        <w:tc>
          <w:tcPr>
            <w:tcW w:type="dxa" w:w="3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Se connecter en tant que Kwame Asante (DR)
Ouvrir la Demande d'Approbation
Examiner le Dossier de Financement — enregistrement verrouillé</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Demande d'approbation visible. DF en lecture seule pendant l'approbation. Kwame voit tous les détails du deal.</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3</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Kwame clique Approuver avec commentaire : "Risque acceptable pour cette taille de deal. Recommande approbation DF."</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Approbation Niveau 2 confirmée. Le processus d'approbation route au Niveau 3 — Fatima Diallo (DF).</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Approbation N2 complète → route au N3</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4</w:t>
            </w:r>
          </w:p>
        </w:tc>
        <w:tc>
          <w:tcPr>
            <w:tcW w:type="dxa" w:w="3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Se connecter en tant que Fatima Diallo (DF)
Ouvrir la Demande d'Approbation
Examiner le deal</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Demande d'approbation visible. Fatima voit le deal au Niveau 3.</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5</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Fatima clique Approuver avec commentaire : "Approuvé. Assurer la surveillance trimestrielle des covenants."</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Approbation finale complète. Étape = Approuvé. L'enregistrement se déverrouille. 2 tâches post-approbation créées automatiquement.</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Approbation finale N3 — Étape = Approuvé</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6</w:t>
            </w:r>
          </w:p>
        </w:tc>
        <w:tc>
          <w:tcPr>
            <w:tcW w:type="dxa" w:w="3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Saisir Date d'Approbation = aujourd'hui
Date d'Expiration = aujourd'hui + 90 jours</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Dossier de Financement entièrement complété. Règles de validation passées. Deal prêt pour les opérations.</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Règles de Validation : Date Approbation + Date Expiration requises</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7</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Vérifier la liste liée Journal d'Audit sur le Dossier</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Le Journal d'Audit affiche : changements d'étape, événements de routage d'approbation avec horodatages et noms des approbateurs.</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Piste d'audit confirmée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91B1B" w:val="clear"/>
            <w:tcMar>
              <w:top w:type="dxa" w:w="140"/>
              <w:left w:type="dxa" w:w="240"/>
              <w:bottom w:type="dxa" w:w="140"/>
              <w:right w:type="dxa" w:w="240"/>
            </w:tcMar>
          </w:tcPr>
          <w:p>
            <w:pPr>
              <w:spacing w:after="30" w:before="0"/>
            </w:pPr>
            <w:r>
              <w:rPr>
                <w:rFonts w:ascii="Arial" w:cs="Arial" w:eastAsia="Arial" w:hAnsi="Arial"/>
                <w:b/>
                <w:bCs/>
                <w:color w:val="FFFFFF"/>
                <w:sz w:val="26"/>
                <w:szCs w:val="26"/>
              </w:rPr>
              <w:t xml:space="preserve">TEST T-07  —  Exception Limite d'Exposition — Processus d'Exception de Crédit</w:t>
            </w:r>
          </w:p>
          <w:p>
            <w:pPr>
              <w:spacing w:after="20" w:before="0"/>
            </w:pPr>
            <w:r>
              <w:rPr>
                <w:rFonts w:ascii="Arial" w:cs="Arial" w:eastAsia="Arial" w:hAnsi="Arial"/>
                <w:color w:val="DDDDDD"/>
                <w:sz w:val="17"/>
                <w:szCs w:val="17"/>
              </w:rPr>
              <w:t xml:space="preserve">🌍 Pays : Rwanda  ·  💱 Devise : RWF — Franc Rwandais  ·  🏦 Emprunteur : Kigali Digital Commerce Ltd</w:t>
            </w:r>
          </w:p>
          <w:p>
            <w:pPr>
              <w:spacing w:after="0" w:before="0"/>
            </w:pPr>
            <w:r>
              <w:rPr>
                <w:rFonts w:ascii="Arial" w:cs="Arial" w:eastAsia="Arial" w:hAnsi="Arial"/>
                <w:color w:val="DDDDDD"/>
                <w:sz w:val="17"/>
                <w:szCs w:val="17"/>
              </w:rPr>
              <w:t xml:space="preserve">📋 Type de Prêt : Fonds de Roulement  ·  💰 Montant : Dépasse la limite de 100 000$  ·  ✅ Approbation : Exception Requise</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991B1B" w:val="clear"/>
            <w:tcMar>
              <w:top w:type="dxa" w:w="100"/>
              <w:left w:type="dxa" w:w="160"/>
              <w:bottom w:type="dxa" w:w="100"/>
              <w:right w:type="dxa" w:w="160"/>
            </w:tcMar>
          </w:tcPr>
          <w:p>
            <w:pPr>
              <w:spacing w:after="30" w:before="0"/>
              <w:jc w:val="left"/>
            </w:pPr>
            <w:r>
              <w:rPr>
                <w:rFonts w:ascii="Arial" w:cs="Arial" w:eastAsia="Arial" w:hAnsi="Arial"/>
                <w:b/>
                <w:bCs/>
                <w:i w:val="false"/>
                <w:iCs w:val="false"/>
                <w:color w:val="FFFFFF"/>
                <w:sz w:val="18"/>
                <w:szCs w:val="18"/>
              </w:rPr>
              <w:t xml:space="preserve">👤 Rôle Exécutant ce Test</w:t>
            </w:r>
          </w:p>
          <w:p>
            <w:pPr>
              <w:spacing w:after="0" w:before="0"/>
              <w:jc w:val="left"/>
            </w:pPr>
            <w:r>
              <w:rPr>
                <w:rFonts w:ascii="Arial" w:cs="Arial" w:eastAsia="Arial" w:hAnsi="Arial"/>
                <w:b/>
                <w:bCs/>
                <w:i w:val="false"/>
                <w:iCs w:val="false"/>
                <w:color w:val="FFFFFF"/>
                <w:sz w:val="20"/>
                <w:szCs w:val="20"/>
              </w:rPr>
              <w:t xml:space="preserve">Chargé de Crédit → Administrateur Système (Therence Ngoa)</w:t>
            </w:r>
          </w:p>
        </w:tc>
        <w:tc>
          <w:tcPr>
            <w:tcW w:type="dxa" w:w="4680"/>
            <w:tcBorders>
              <w:top w:val="none" w:color="FFFFFF" w:sz="0"/>
              <w:left w:val="none" w:color="FFFFFF" w:sz="0"/>
              <w:bottom w:val="none" w:color="FFFFFF" w:sz="0"/>
              <w:right w:val="none" w:color="FFFFFF" w:sz="0"/>
            </w:tcBorders>
            <w:shd w:fill="F8FAFC" w:val="clear"/>
            <w:tcMar>
              <w:top w:type="dxa" w:w="100"/>
              <w:left w:type="dxa" w:w="160"/>
              <w:bottom w:type="dxa" w:w="100"/>
              <w:right w:type="dxa" w:w="160"/>
            </w:tcMar>
          </w:tcPr>
          <w:p>
            <w:pPr>
              <w:spacing w:after="30" w:before="0"/>
              <w:jc w:val="left"/>
            </w:pPr>
            <w:r>
              <w:rPr>
                <w:rFonts w:ascii="Arial" w:cs="Arial" w:eastAsia="Arial" w:hAnsi="Arial"/>
                <w:b/>
                <w:bCs/>
                <w:i w:val="false"/>
                <w:iCs w:val="false"/>
                <w:color w:val="0D1F3C"/>
                <w:sz w:val="18"/>
                <w:szCs w:val="18"/>
              </w:rPr>
              <w:t xml:space="preserve">Pourquoi ce rôle ?</w:t>
            </w:r>
          </w:p>
          <w:p>
            <w:pPr>
              <w:spacing w:after="0" w:before="0"/>
              <w:jc w:val="left"/>
            </w:pPr>
            <w:r>
              <w:rPr>
                <w:rFonts w:ascii="Arial" w:cs="Arial" w:eastAsia="Arial" w:hAnsi="Arial"/>
                <w:b w:val="false"/>
                <w:bCs w:val="false"/>
                <w:i w:val="false"/>
                <w:iCs w:val="false"/>
                <w:color w:val="000000"/>
                <w:sz w:val="18"/>
                <w:szCs w:val="18"/>
              </w:rPr>
              <w:t xml:space="preserve">Le Chargé de Crédit rencontre un blocage de limite d'exposition — l'emprunteur a déjà utilisé 80 000$ d'une limite de 100 000$ et a besoin de 30 000$ supplémentaires. Le CC soulève une Exception de Crédit formelle, qui route vers l'Administrateur Système pour approbation.</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3"/>
              <w:left w:val="single" w:color="991B1B" w:sz="3"/>
              <w:bottom w:val="single" w:color="991B1B" w:sz="1"/>
              <w:right w:val="single" w:color="991B1B" w:sz="1"/>
            </w:tcBorders>
            <w:shd w:fill="FEE2E2" w:val="clear"/>
            <w:tcMar>
              <w:top w:type="dxa" w:w="120"/>
              <w:left w:type="dxa" w:w="200"/>
              <w:bottom w:type="dxa" w:w="120"/>
              <w:right w:type="dxa" w:w="200"/>
            </w:tcMar>
          </w:tcPr>
          <w:p>
            <w:pPr>
              <w:spacing w:after="60" w:before="0"/>
              <w:jc w:val="left"/>
            </w:pPr>
            <w:r>
              <w:rPr>
                <w:rFonts w:ascii="Arial" w:cs="Arial" w:eastAsia="Arial" w:hAnsi="Arial"/>
                <w:b/>
                <w:bCs/>
                <w:i w:val="false"/>
                <w:iCs w:val="false"/>
                <w:color w:val="991B1B"/>
                <w:sz w:val="19"/>
                <w:szCs w:val="19"/>
              </w:rPr>
              <w:t xml:space="preserve">Ce que ce test valide</w:t>
            </w:r>
          </w:p>
          <w:p>
            <w:pPr>
              <w:pStyle w:val="ListParagraph"/>
              <w:numPr>
                <w:ilvl w:val="0"/>
                <w:numId w:val="2"/>
              </w:numPr>
              <w:spacing w:after="30" w:before="30"/>
            </w:pPr>
            <w:r>
              <w:rPr>
                <w:rFonts w:ascii="Arial" w:cs="Arial" w:eastAsia="Arial" w:hAnsi="Arial"/>
                <w:b w:val="false"/>
                <w:bCs w:val="false"/>
                <w:color w:val="000000"/>
                <w:sz w:val="19"/>
                <w:szCs w:val="19"/>
              </w:rPr>
              <w:t xml:space="preserve">La règle de validation de limite d'exposition bloque la sauvegarde avec message d'erreur bilingue</w:t>
            </w:r>
          </w:p>
          <w:p>
            <w:pPr>
              <w:pStyle w:val="ListParagraph"/>
              <w:numPr>
                <w:ilvl w:val="0"/>
                <w:numId w:val="2"/>
              </w:numPr>
              <w:spacing w:after="30" w:before="30"/>
            </w:pPr>
            <w:r>
              <w:rPr>
                <w:rFonts w:ascii="Arial" w:cs="Arial" w:eastAsia="Arial" w:hAnsi="Arial"/>
                <w:b w:val="false"/>
                <w:bCs w:val="false"/>
                <w:color w:val="000000"/>
                <w:sz w:val="19"/>
                <w:szCs w:val="19"/>
              </w:rPr>
              <w:t xml:space="preserve">Création d'Exception de Crédit avec justification écrite</w:t>
            </w:r>
          </w:p>
          <w:p>
            <w:pPr>
              <w:pStyle w:val="ListParagraph"/>
              <w:numPr>
                <w:ilvl w:val="0"/>
                <w:numId w:val="2"/>
              </w:numPr>
              <w:spacing w:after="30" w:before="30"/>
            </w:pPr>
            <w:r>
              <w:rPr>
                <w:rFonts w:ascii="Arial" w:cs="Arial" w:eastAsia="Arial" w:hAnsi="Arial"/>
                <w:b w:val="false"/>
                <w:bCs w:val="false"/>
                <w:color w:val="000000"/>
                <w:sz w:val="19"/>
                <w:szCs w:val="19"/>
              </w:rPr>
              <w:t xml:space="preserve">Le processus d'approbation d'exception route correctement</w:t>
            </w:r>
          </w:p>
          <w:p>
            <w:pPr>
              <w:pStyle w:val="ListParagraph"/>
              <w:numPr>
                <w:ilvl w:val="0"/>
                <w:numId w:val="2"/>
              </w:numPr>
              <w:spacing w:after="30" w:before="30"/>
            </w:pPr>
            <w:r>
              <w:rPr>
                <w:rFonts w:ascii="Arial" w:cs="Arial" w:eastAsia="Arial" w:hAnsi="Arial"/>
                <w:b w:val="false"/>
                <w:bCs w:val="false"/>
                <w:color w:val="000000"/>
                <w:sz w:val="19"/>
                <w:szCs w:val="19"/>
              </w:rPr>
              <w:t xml:space="preserve">Une fois approuvé : le drapeau Exception Approuvée permet la sauvegarde du Dossier</w:t>
            </w:r>
          </w:p>
          <w:p>
            <w:pPr>
              <w:pStyle w:val="ListParagraph"/>
              <w:numPr>
                <w:ilvl w:val="0"/>
                <w:numId w:val="2"/>
              </w:numPr>
              <w:spacing w:after="30" w:before="30"/>
            </w:pPr>
            <w:r>
              <w:rPr>
                <w:rFonts w:ascii="Arial" w:cs="Arial" w:eastAsia="Arial" w:hAnsi="Arial"/>
                <w:b w:val="false"/>
                <w:bCs w:val="false"/>
                <w:color w:val="000000"/>
                <w:sz w:val="19"/>
                <w:szCs w:val="19"/>
              </w:rPr>
              <w:t xml:space="preserve">Le Journal d'Audit enregistre définitivement l'exception — qui a demandé, qui a approuvé, quand</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560"/>
        <w:gridCol w:w="3200"/>
        <w:gridCol w:w="2200"/>
      </w:tblGrid>
      <w:tr>
        <w:tc>
          <w:tcPr>
            <w:tcW w:type="dxa" w:w="4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center"/>
            </w:pPr>
            <w:r>
              <w:rPr>
                <w:rFonts w:ascii="Arial" w:cs="Arial" w:eastAsia="Arial" w:hAnsi="Arial"/>
                <w:b/>
                <w:bCs/>
                <w:i w:val="false"/>
                <w:iCs w:val="false"/>
                <w:color w:val="FFFFFF"/>
                <w:sz w:val="19"/>
                <w:szCs w:val="19"/>
              </w:rPr>
              <w:t xml:space="preserve">Étape</w:t>
            </w:r>
          </w:p>
        </w:tc>
        <w:tc>
          <w:tcPr>
            <w:tcW w:type="dxa" w:w="356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Action</w:t>
            </w:r>
          </w:p>
        </w:tc>
        <w:tc>
          <w:tcPr>
            <w:tcW w:type="dxa" w:w="32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Résultat Attendu</w:t>
            </w:r>
          </w:p>
        </w:tc>
        <w:tc>
          <w:tcPr>
            <w:tcW w:type="dxa" w:w="22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Porte / Règle</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1</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Ouvrir Compte : Kigali Digital Commerce Ltd
Vérifier : Limite Max Exposition = 100 000
Exposition Totale Actuelle = 80 000 (Dossier actif existant)
Créer nouveau Dossier de Financement avec Montant Total = 30 000 → Enregistrer</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BLOQUÉ. Message bilingue sur le champ Montant Total : "Ce montant dépasse la limite d'exposition maximale du compte. Veuillez réduire le montant ou soumettre une Exception de Crédit."</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Règle de Validation : Exposure_Limit_Breach_Check</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2</w:t>
            </w:r>
          </w:p>
        </w:tc>
        <w:tc>
          <w:tcPr>
            <w:tcW w:type="dxa" w:w="3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Naviguer vers l'onglet Exceptions de Crédit → Nouveau
Type Exception = Dépassement Limite Exposition
Compte = Kigali Digital Commerce Ltd
Dossier de Financement lié = [le Dossier bloqué]
Raison : "L'emprunteur a confirmé un nouveau contrat avec le Rwanda Development Board d'une valeur de 45M RWF. Fonds de roulement supplémentaires requis pour l'exécution du contrat."
Enregistrer</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Exception de Crédit créée avec Statut = Brouillon. Pas encore d'approbation.</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3</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Cliquer Soumettre pour Approbation sur l'Exception de Crédit
Observer le routage</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Demande d'approbation envoyée à Therence Ngoa (Administrateur Système) — le seul approbateur pour les Exceptions de Crédit.</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Processus Approbation : CF360 Processus Approbation Exception de Crédit</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4</w:t>
            </w:r>
          </w:p>
        </w:tc>
        <w:tc>
          <w:tcPr>
            <w:tcW w:type="dxa" w:w="3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Se connecter en tant que Therence Ngoa (Administrateur Système)
Examiner l'Exception de Crédit
Lire la justification écrite</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Demande d'approbation visible. Détails et justification de l'exception lisibles.</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5</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Cliquer Approuver avec commentaire : "Approuvé. Contrat vérifié. Révision trimestrielle des covenants requise."</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Exception de Crédit approuvée. Le champ Exposure_Exception_Approved__c est automatiquement coché sur le Dossier lié.</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L'action d'approbation coche automatiquement le drapeau Exception Approuvée</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6</w:t>
            </w:r>
          </w:p>
        </w:tc>
        <w:tc>
          <w:tcPr>
            <w:tcW w:type="dxa" w:w="3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Retourner au Dossier de Financement bloqué
Vérifier Exception Exposition Approuvée = ✅ coché
Enregistrer</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Le Dossier est sauvegardé avec succès — règle de validation d'exposition contournée car l'exception est approuvée.</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Règle de validation contournée — drapeau exception actif</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7</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Vérifier le Journal d'Audit sur le Dossier</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Le Journal d'Audit affiche : qui a demandé l'exception, qui l'a approuvée, la justification et l'horodatage. Permanent et immuable.</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Piste d'audit confirmée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5020" w:val="clear"/>
            <w:tcMar>
              <w:top w:type="dxa" w:w="140"/>
              <w:left w:type="dxa" w:w="240"/>
              <w:bottom w:type="dxa" w:w="140"/>
              <w:right w:type="dxa" w:w="240"/>
            </w:tcMar>
          </w:tcPr>
          <w:p>
            <w:pPr>
              <w:spacing w:after="30" w:before="0"/>
            </w:pPr>
            <w:r>
              <w:rPr>
                <w:rFonts w:ascii="Arial" w:cs="Arial" w:eastAsia="Arial" w:hAnsi="Arial"/>
                <w:b/>
                <w:bCs/>
                <w:color w:val="FFFFFF"/>
                <w:sz w:val="26"/>
                <w:szCs w:val="26"/>
              </w:rPr>
              <w:t xml:space="preserve">TEST T-08  —  Détection Violation Covenant — Temps Réel &amp; Vue Régulateur</w:t>
            </w:r>
          </w:p>
          <w:p>
            <w:pPr>
              <w:spacing w:after="20" w:before="0"/>
            </w:pPr>
            <w:r>
              <w:rPr>
                <w:rFonts w:ascii="Arial" w:cs="Arial" w:eastAsia="Arial" w:hAnsi="Arial"/>
                <w:color w:val="DDDDDD"/>
                <w:sz w:val="17"/>
                <w:szCs w:val="17"/>
              </w:rPr>
              <w:t xml:space="preserve">🌍 Pays : Libéria  ·  💱 Devise : LRD — Dollar Libérien  ·  🏦 Emprunteur : Monrovia Import Export Co.</w:t>
            </w:r>
          </w:p>
          <w:p>
            <w:pPr>
              <w:spacing w:after="0" w:before="0"/>
            </w:pPr>
            <w:r>
              <w:rPr>
                <w:rFonts w:ascii="Arial" w:cs="Arial" w:eastAsia="Arial" w:hAnsi="Arial"/>
                <w:color w:val="DDDDDD"/>
                <w:sz w:val="17"/>
                <w:szCs w:val="17"/>
              </w:rPr>
              <w:t xml:space="preserve">📋 Type de Prêt : Prêt à Terme  ·  💰 Montant : 50 000$ (≈ LRD 9 150 000)  ·  ✅ Approbation : N/A — Test de surveillance</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C05020" w:val="clear"/>
            <w:tcMar>
              <w:top w:type="dxa" w:w="100"/>
              <w:left w:type="dxa" w:w="160"/>
              <w:bottom w:type="dxa" w:w="100"/>
              <w:right w:type="dxa" w:w="160"/>
            </w:tcMar>
          </w:tcPr>
          <w:p>
            <w:pPr>
              <w:spacing w:after="30" w:before="0"/>
              <w:jc w:val="left"/>
            </w:pPr>
            <w:r>
              <w:rPr>
                <w:rFonts w:ascii="Arial" w:cs="Arial" w:eastAsia="Arial" w:hAnsi="Arial"/>
                <w:b/>
                <w:bCs/>
                <w:i w:val="false"/>
                <w:iCs w:val="false"/>
                <w:color w:val="FFFFFF"/>
                <w:sz w:val="18"/>
                <w:szCs w:val="18"/>
              </w:rPr>
              <w:t xml:space="preserve">👤 Rôle Exécutant ce Test</w:t>
            </w:r>
          </w:p>
          <w:p>
            <w:pPr>
              <w:spacing w:after="0" w:before="0"/>
              <w:jc w:val="left"/>
            </w:pPr>
            <w:r>
              <w:rPr>
                <w:rFonts w:ascii="Arial" w:cs="Arial" w:eastAsia="Arial" w:hAnsi="Arial"/>
                <w:b/>
                <w:bCs/>
                <w:i w:val="false"/>
                <w:iCs w:val="false"/>
                <w:color w:val="FFFFFF"/>
                <w:sz w:val="20"/>
                <w:szCs w:val="20"/>
              </w:rPr>
              <w:t xml:space="preserve">Responsable de Portefeuille (surveille) → Chargé de Crédit (met à jour) → Vue Régulateur (voit la violation)</w:t>
            </w:r>
          </w:p>
        </w:tc>
        <w:tc>
          <w:tcPr>
            <w:tcW w:type="dxa" w:w="4680"/>
            <w:tcBorders>
              <w:top w:val="none" w:color="FFFFFF" w:sz="0"/>
              <w:left w:val="none" w:color="FFFFFF" w:sz="0"/>
              <w:bottom w:val="none" w:color="FFFFFF" w:sz="0"/>
              <w:right w:val="none" w:color="FFFFFF" w:sz="0"/>
            </w:tcBorders>
            <w:shd w:fill="F8FAFC" w:val="clear"/>
            <w:tcMar>
              <w:top w:type="dxa" w:w="100"/>
              <w:left w:type="dxa" w:w="160"/>
              <w:bottom w:type="dxa" w:w="100"/>
              <w:right w:type="dxa" w:w="160"/>
            </w:tcMar>
          </w:tcPr>
          <w:p>
            <w:pPr>
              <w:spacing w:after="30" w:before="0"/>
              <w:jc w:val="left"/>
            </w:pPr>
            <w:r>
              <w:rPr>
                <w:rFonts w:ascii="Arial" w:cs="Arial" w:eastAsia="Arial" w:hAnsi="Arial"/>
                <w:b/>
                <w:bCs/>
                <w:i w:val="false"/>
                <w:iCs w:val="false"/>
                <w:color w:val="0D1F3C"/>
                <w:sz w:val="18"/>
                <w:szCs w:val="18"/>
              </w:rPr>
              <w:t xml:space="preserve">Pourquoi ce rôle ?</w:t>
            </w:r>
          </w:p>
          <w:p>
            <w:pPr>
              <w:spacing w:after="0" w:before="0"/>
              <w:jc w:val="left"/>
            </w:pPr>
            <w:r>
              <w:rPr>
                <w:rFonts w:ascii="Arial" w:cs="Arial" w:eastAsia="Arial" w:hAnsi="Arial"/>
                <w:b w:val="false"/>
                <w:bCs w:val="false"/>
                <w:i w:val="false"/>
                <w:iCs w:val="false"/>
                <w:color w:val="000000"/>
                <w:sz w:val="18"/>
                <w:szCs w:val="18"/>
              </w:rPr>
              <w:t xml:space="preserve">Ce test valide trois rôles distincts interagissant avec le système de surveillance des covenants. Le Responsable de Portefeuille identifie une violation potentielle. Le Chargé de Crédit met à jour la valeur réelle sous le seuil — déclenchant la détection automatique de violation. Le Régulateur peut voir la violation dans son tableau de bord mais ne peut pas voir les données d'analyse crédit.</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5020" w:sz="3"/>
              <w:left w:val="single" w:color="C05020" w:sz="3"/>
              <w:bottom w:val="single" w:color="C05020" w:sz="1"/>
              <w:right w:val="single" w:color="C05020" w:sz="1"/>
            </w:tcBorders>
            <w:shd w:fill="FEF0E4" w:val="clear"/>
            <w:tcMar>
              <w:top w:type="dxa" w:w="120"/>
              <w:left w:type="dxa" w:w="200"/>
              <w:bottom w:type="dxa" w:w="120"/>
              <w:right w:type="dxa" w:w="200"/>
            </w:tcMar>
          </w:tcPr>
          <w:p>
            <w:pPr>
              <w:spacing w:after="60" w:before="0"/>
              <w:jc w:val="left"/>
            </w:pPr>
            <w:r>
              <w:rPr>
                <w:rFonts w:ascii="Arial" w:cs="Arial" w:eastAsia="Arial" w:hAnsi="Arial"/>
                <w:b/>
                <w:bCs/>
                <w:i w:val="false"/>
                <w:iCs w:val="false"/>
                <w:color w:val="C05020"/>
                <w:sz w:val="19"/>
                <w:szCs w:val="19"/>
              </w:rPr>
              <w:t xml:space="preserve">Ce que ce test valide</w:t>
            </w:r>
          </w:p>
          <w:p>
            <w:pPr>
              <w:pStyle w:val="ListParagraph"/>
              <w:numPr>
                <w:ilvl w:val="0"/>
                <w:numId w:val="2"/>
              </w:numPr>
              <w:spacing w:after="30" w:before="30"/>
            </w:pPr>
            <w:r>
              <w:rPr>
                <w:rFonts w:ascii="Arial" w:cs="Arial" w:eastAsia="Arial" w:hAnsi="Arial"/>
                <w:b w:val="false"/>
                <w:bCs w:val="false"/>
                <w:color w:val="000000"/>
                <w:sz w:val="19"/>
                <w:szCs w:val="19"/>
              </w:rPr>
              <w:t xml:space="preserve">La détection de violation en temps réel se déclenche instantanément à la sauvegarde</w:t>
            </w:r>
          </w:p>
          <w:p>
            <w:pPr>
              <w:pStyle w:val="ListParagraph"/>
              <w:numPr>
                <w:ilvl w:val="0"/>
                <w:numId w:val="2"/>
              </w:numPr>
              <w:spacing w:after="30" w:before="30"/>
            </w:pPr>
            <w:r>
              <w:rPr>
                <w:rFonts w:ascii="Arial" w:cs="Arial" w:eastAsia="Arial" w:hAnsi="Arial"/>
                <w:b w:val="false"/>
                <w:bCs w:val="false"/>
                <w:color w:val="000000"/>
                <w:sz w:val="19"/>
                <w:szCs w:val="19"/>
              </w:rPr>
              <w:t xml:space="preserve">La règle de validation de Date de Violation bloque la sauvegarde si la date est manquante</w:t>
            </w:r>
          </w:p>
          <w:p>
            <w:pPr>
              <w:pStyle w:val="ListParagraph"/>
              <w:numPr>
                <w:ilvl w:val="0"/>
                <w:numId w:val="2"/>
              </w:numPr>
              <w:spacing w:after="30" w:before="30"/>
            </w:pPr>
            <w:r>
              <w:rPr>
                <w:rFonts w:ascii="Arial" w:cs="Arial" w:eastAsia="Arial" w:hAnsi="Arial"/>
                <w:b w:val="false"/>
                <w:bCs w:val="false"/>
                <w:color w:val="000000"/>
                <w:sz w:val="19"/>
                <w:szCs w:val="19"/>
              </w:rPr>
              <w:t xml:space="preserve">Le Journal d'Audit enregistre définitivement l'événement de violation</w:t>
            </w:r>
          </w:p>
          <w:p>
            <w:pPr>
              <w:pStyle w:val="ListParagraph"/>
              <w:numPr>
                <w:ilvl w:val="0"/>
                <w:numId w:val="2"/>
              </w:numPr>
              <w:spacing w:after="30" w:before="30"/>
            </w:pPr>
            <w:r>
              <w:rPr>
                <w:rFonts w:ascii="Arial" w:cs="Arial" w:eastAsia="Arial" w:hAnsi="Arial"/>
                <w:b w:val="false"/>
                <w:bCs w:val="false"/>
                <w:color w:val="000000"/>
                <w:sz w:val="19"/>
                <w:szCs w:val="19"/>
              </w:rPr>
              <w:t xml:space="preserve">Le Tableau de Bord Régulateur affiche la violation sans exposer le Score de Risque ou le Mémo de Crédit</w:t>
            </w:r>
          </w:p>
          <w:p>
            <w:pPr>
              <w:pStyle w:val="ListParagraph"/>
              <w:numPr>
                <w:ilvl w:val="0"/>
                <w:numId w:val="2"/>
              </w:numPr>
              <w:spacing w:after="30" w:before="30"/>
            </w:pPr>
            <w:r>
              <w:rPr>
                <w:rFonts w:ascii="Arial" w:cs="Arial" w:eastAsia="Arial" w:hAnsi="Arial"/>
                <w:b w:val="false"/>
                <w:bCs w:val="false"/>
                <w:color w:val="000000"/>
                <w:sz w:val="19"/>
                <w:szCs w:val="19"/>
              </w:rPr>
              <w:t xml:space="preserve">Le Chargé de Crédit peut résoudre la violation en mettant à jour la Valeur Réelle au-dessus du seuil</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560"/>
        <w:gridCol w:w="3200"/>
        <w:gridCol w:w="2200"/>
      </w:tblGrid>
      <w:tr>
        <w:tc>
          <w:tcPr>
            <w:tcW w:type="dxa" w:w="4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center"/>
            </w:pPr>
            <w:r>
              <w:rPr>
                <w:rFonts w:ascii="Arial" w:cs="Arial" w:eastAsia="Arial" w:hAnsi="Arial"/>
                <w:b/>
                <w:bCs/>
                <w:i w:val="false"/>
                <w:iCs w:val="false"/>
                <w:color w:val="FFFFFF"/>
                <w:sz w:val="19"/>
                <w:szCs w:val="19"/>
              </w:rPr>
              <w:t xml:space="preserve">Étape</w:t>
            </w:r>
          </w:p>
        </w:tc>
        <w:tc>
          <w:tcPr>
            <w:tcW w:type="dxa" w:w="356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Action</w:t>
            </w:r>
          </w:p>
        </w:tc>
        <w:tc>
          <w:tcPr>
            <w:tcW w:type="dxa" w:w="32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Résultat Attendu</w:t>
            </w:r>
          </w:p>
        </w:tc>
        <w:tc>
          <w:tcPr>
            <w:tcW w:type="dxa" w:w="22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Porte / Règle</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1</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Ouvrir le Covenant lié au Dossier de Monrovia Import Export Co.
Vérifier : Valeur Seuil = 10 000 · Valeur Réelle = 15 000 · Statut = Conforme</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Le Covenant affiche Statut Conforme. La Valeur Réelle est au-dessus du seuil.</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2</w:t>
            </w:r>
          </w:p>
        </w:tc>
        <w:tc>
          <w:tcPr>
            <w:tcW w:type="dxa" w:w="3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Modifier Covenant → changer Valeur Réelle à 6 500 (sous le seuil de 10 000) → Enregistrer</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À la sauvegarde : Détection Violation Covenant Temps Réel V1 se déclenche. Le Statut change automatiquement en VIOLÉ. Le champ Date de Violation devient obligatoire.</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Flux : Covenant Real Time Breach Check V1</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3</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Essayer de sauvegarder sans saisir la Date de Violation</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BLOQUÉ. La règle de validation se déclenche : "La Date de Violation est requise quand le Statut du Covenant est Violé."</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Règle de Validation : Require_Breach_Date_When_Breached</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4</w:t>
            </w:r>
          </w:p>
        </w:tc>
        <w:tc>
          <w:tcPr>
            <w:tcW w:type="dxa" w:w="3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Saisir Date de Violation = aujourd'hui → Enregistrer</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Le Covenant est sauvegardé avec Statut = Violé. Enregistrement Journal d'Audit créé : Type = Violation Covenant, Ancienne Valeur = Conforme, Nouvelle Valeur = Violé.</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Flux : Journal Changement Statut Covenant V1</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5</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Se connecter en tant qu'utilisateur Vue Régulateur
Naviguer vers le Tableau de Bord Régulateur</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Le tableau de bord affiche : Statut KYC, Conformité Covenants (1 Violé), Documents Expirants, Journal d'Audit. Aucun montant financier, Score de Risque ou contenu Mémo visible.</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Isolation des données confirmée : FLS masque les données sensibles au Régulateur</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6</w:t>
            </w:r>
          </w:p>
        </w:tc>
        <w:tc>
          <w:tcPr>
            <w:tcW w:type="dxa" w:w="3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Le Régulateur clique sur le widget Conformité Covenants
Accède au rapport en profondeur</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Le rapport affiche : quel covenant est violé, date de violation, Dossier de Financement lié. Aucune donnée d'analyse crédit visible.</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Accès Régulateur confirmé sans exposition des données crédit</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7</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Le Chargé de Crédit met à jour Valeur Réelle = 12 000 (au-dessus du seuil) → Enregistrer</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Le Statut du Covenant revient automatiquement à Conforme. Résolution de la violation enregistrée dans le Journal d'Audit. Violation originale préservée définitivement.</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Violation résolue — piste d'audit maintient l'historique complet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140"/>
              <w:left w:type="dxa" w:w="240"/>
              <w:bottom w:type="dxa" w:w="140"/>
              <w:right w:type="dxa" w:w="240"/>
            </w:tcMar>
          </w:tcPr>
          <w:p>
            <w:pPr>
              <w:spacing w:after="30" w:before="0"/>
            </w:pPr>
            <w:r>
              <w:rPr>
                <w:rFonts w:ascii="Arial" w:cs="Arial" w:eastAsia="Arial" w:hAnsi="Arial"/>
                <w:b/>
                <w:bCs/>
                <w:color w:val="FFFFFF"/>
                <w:sz w:val="26"/>
                <w:szCs w:val="26"/>
              </w:rPr>
              <w:t xml:space="preserve">TEST T-09  —  Deal Comité — Cycle de Vie Complet pour Grand Deal</w:t>
            </w:r>
          </w:p>
          <w:p>
            <w:pPr>
              <w:spacing w:after="20" w:before="0"/>
            </w:pPr>
            <w:r>
              <w:rPr>
                <w:rFonts w:ascii="Arial" w:cs="Arial" w:eastAsia="Arial" w:hAnsi="Arial"/>
                <w:color w:val="DDDDDD"/>
                <w:sz w:val="17"/>
                <w:szCs w:val="17"/>
              </w:rPr>
              <w:t xml:space="preserve">🌍 Pays : Congo  ·  💱 Devise : XAF — CFA Franc BEAC  ·  🏦 Emprunteur : Brazzaville Energy Holdings SARL</w:t>
            </w:r>
          </w:p>
          <w:p>
            <w:pPr>
              <w:spacing w:after="0" w:before="0"/>
            </w:pPr>
            <w:r>
              <w:rPr>
                <w:rFonts w:ascii="Arial" w:cs="Arial" w:eastAsia="Arial" w:hAnsi="Arial"/>
                <w:color w:val="DDDDDD"/>
                <w:sz w:val="17"/>
                <w:szCs w:val="17"/>
              </w:rPr>
              <w:t xml:space="preserve">📋 Type de Prêt : Prêt Construction  ·  💰 Montant : 3 200 000$ (≈ XAF 1 920 000 000)  ·  ✅ Approbation : Niveau 3 Direct — Comité</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334155" w:val="clear"/>
            <w:tcMar>
              <w:top w:type="dxa" w:w="100"/>
              <w:left w:type="dxa" w:w="160"/>
              <w:bottom w:type="dxa" w:w="100"/>
              <w:right w:type="dxa" w:w="160"/>
            </w:tcMar>
          </w:tcPr>
          <w:p>
            <w:pPr>
              <w:spacing w:after="30" w:before="0"/>
              <w:jc w:val="left"/>
            </w:pPr>
            <w:r>
              <w:rPr>
                <w:rFonts w:ascii="Arial" w:cs="Arial" w:eastAsia="Arial" w:hAnsi="Arial"/>
                <w:b/>
                <w:bCs/>
                <w:i w:val="false"/>
                <w:iCs w:val="false"/>
                <w:color w:val="FFFFFF"/>
                <w:sz w:val="18"/>
                <w:szCs w:val="18"/>
              </w:rPr>
              <w:t xml:space="preserve">👤 Rôle Exécutant ce Test</w:t>
            </w:r>
          </w:p>
          <w:p>
            <w:pPr>
              <w:spacing w:after="0" w:before="0"/>
              <w:jc w:val="left"/>
            </w:pPr>
            <w:r>
              <w:rPr>
                <w:rFonts w:ascii="Arial" w:cs="Arial" w:eastAsia="Arial" w:hAnsi="Arial"/>
                <w:b/>
                <w:bCs/>
                <w:i w:val="false"/>
                <w:iCs w:val="false"/>
                <w:color w:val="FFFFFF"/>
                <w:sz w:val="20"/>
                <w:szCs w:val="20"/>
              </w:rPr>
              <w:t xml:space="preserve">Chargé de Crédit → CCS → DF (Fatima Diallo) → Comité de Crédit</w:t>
            </w:r>
          </w:p>
        </w:tc>
        <w:tc>
          <w:tcPr>
            <w:tcW w:type="dxa" w:w="4680"/>
            <w:tcBorders>
              <w:top w:val="none" w:color="FFFFFF" w:sz="0"/>
              <w:left w:val="none" w:color="FFFFFF" w:sz="0"/>
              <w:bottom w:val="none" w:color="FFFFFF" w:sz="0"/>
              <w:right w:val="none" w:color="FFFFFF" w:sz="0"/>
            </w:tcBorders>
            <w:shd w:fill="F8FAFC" w:val="clear"/>
            <w:tcMar>
              <w:top w:type="dxa" w:w="100"/>
              <w:left w:type="dxa" w:w="160"/>
              <w:bottom w:type="dxa" w:w="100"/>
              <w:right w:type="dxa" w:w="160"/>
            </w:tcMar>
          </w:tcPr>
          <w:p>
            <w:pPr>
              <w:spacing w:after="30" w:before="0"/>
              <w:jc w:val="left"/>
            </w:pPr>
            <w:r>
              <w:rPr>
                <w:rFonts w:ascii="Arial" w:cs="Arial" w:eastAsia="Arial" w:hAnsi="Arial"/>
                <w:b/>
                <w:bCs/>
                <w:i w:val="false"/>
                <w:iCs w:val="false"/>
                <w:color w:val="0D1F3C"/>
                <w:sz w:val="18"/>
                <w:szCs w:val="18"/>
              </w:rPr>
              <w:t xml:space="preserve">Pourquoi ce rôle ?</w:t>
            </w:r>
          </w:p>
          <w:p>
            <w:pPr>
              <w:spacing w:after="0" w:before="0"/>
              <w:jc w:val="left"/>
            </w:pPr>
            <w:r>
              <w:rPr>
                <w:rFonts w:ascii="Arial" w:cs="Arial" w:eastAsia="Arial" w:hAnsi="Arial"/>
                <w:b w:val="false"/>
                <w:bCs w:val="false"/>
                <w:i w:val="false"/>
                <w:iCs w:val="false"/>
                <w:color w:val="000000"/>
                <w:sz w:val="18"/>
                <w:szCs w:val="18"/>
              </w:rPr>
              <w:t xml:space="preserve">Pour les deals au-dessus de 2M$ ou avec Indicateur Comité = Vrai, le processus d'approbation contourne les Niveaux 1 et 2 et route directement au Niveau 3 (DF). Ce test valide le drapeau deal comité, le routage direct Niveau 3, l'enregistrement de Réunion du Comité de Crédit et le Flux Tampon Deal Comité.</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3"/>
              <w:left w:val="single" w:color="334155" w:sz="3"/>
              <w:bottom w:val="single" w:color="334155" w:sz="1"/>
              <w:right w:val="single" w:color="334155" w:sz="1"/>
            </w:tcBorders>
            <w:shd w:fill="F8FAFC" w:val="clear"/>
            <w:tcMar>
              <w:top w:type="dxa" w:w="120"/>
              <w:left w:type="dxa" w:w="200"/>
              <w:bottom w:type="dxa" w:w="120"/>
              <w:right w:type="dxa" w:w="200"/>
            </w:tcMar>
          </w:tcPr>
          <w:p>
            <w:pPr>
              <w:spacing w:after="60" w:before="0"/>
              <w:jc w:val="left"/>
            </w:pPr>
            <w:r>
              <w:rPr>
                <w:rFonts w:ascii="Arial" w:cs="Arial" w:eastAsia="Arial" w:hAnsi="Arial"/>
                <w:b/>
                <w:bCs/>
                <w:i w:val="false"/>
                <w:iCs w:val="false"/>
                <w:color w:val="334155"/>
                <w:sz w:val="19"/>
                <w:szCs w:val="19"/>
              </w:rPr>
              <w:t xml:space="preserve">Ce que ce test valide</w:t>
            </w:r>
          </w:p>
          <w:p>
            <w:pPr>
              <w:pStyle w:val="ListParagraph"/>
              <w:numPr>
                <w:ilvl w:val="0"/>
                <w:numId w:val="2"/>
              </w:numPr>
              <w:spacing w:after="30" w:before="30"/>
            </w:pPr>
            <w:r>
              <w:rPr>
                <w:rFonts w:ascii="Arial" w:cs="Arial" w:eastAsia="Arial" w:hAnsi="Arial"/>
                <w:b w:val="false"/>
                <w:bCs w:val="false"/>
                <w:color w:val="000000"/>
                <w:sz w:val="19"/>
                <w:szCs w:val="19"/>
              </w:rPr>
              <w:t xml:space="preserve">Indicateur Comité = Vrai force le routage direct au Niveau 3 — contourne N1 et N2</w:t>
            </w:r>
          </w:p>
          <w:p>
            <w:pPr>
              <w:pStyle w:val="ListParagraph"/>
              <w:numPr>
                <w:ilvl w:val="0"/>
                <w:numId w:val="2"/>
              </w:numPr>
              <w:spacing w:after="30" w:before="30"/>
            </w:pPr>
            <w:r>
              <w:rPr>
                <w:rFonts w:ascii="Arial" w:cs="Arial" w:eastAsia="Arial" w:hAnsi="Arial"/>
                <w:b w:val="false"/>
                <w:bCs w:val="false"/>
                <w:color w:val="000000"/>
                <w:sz w:val="19"/>
                <w:szCs w:val="19"/>
              </w:rPr>
              <w:t xml:space="preserve">Enregistrement de Réunion du Comité de Crédit avec comptages de votes et quorum</w:t>
            </w:r>
          </w:p>
          <w:p>
            <w:pPr>
              <w:pStyle w:val="ListParagraph"/>
              <w:numPr>
                <w:ilvl w:val="0"/>
                <w:numId w:val="2"/>
              </w:numPr>
              <w:spacing w:after="30" w:before="30"/>
            </w:pPr>
            <w:r>
              <w:rPr>
                <w:rFonts w:ascii="Arial" w:cs="Arial" w:eastAsia="Arial" w:hAnsi="Arial"/>
                <w:b w:val="false"/>
                <w:bCs w:val="false"/>
                <w:color w:val="000000"/>
                <w:sz w:val="19"/>
                <w:szCs w:val="19"/>
              </w:rPr>
              <w:t xml:space="preserve">La formule Pourcentage d'Approbation calcule automatiquement</w:t>
            </w:r>
          </w:p>
          <w:p>
            <w:pPr>
              <w:pStyle w:val="ListParagraph"/>
              <w:numPr>
                <w:ilvl w:val="0"/>
                <w:numId w:val="2"/>
              </w:numPr>
              <w:spacing w:after="30" w:before="30"/>
            </w:pPr>
            <w:r>
              <w:rPr>
                <w:rFonts w:ascii="Arial" w:cs="Arial" w:eastAsia="Arial" w:hAnsi="Arial"/>
                <w:b w:val="false"/>
                <w:bCs w:val="false"/>
                <w:color w:val="000000"/>
                <w:sz w:val="19"/>
                <w:szCs w:val="19"/>
              </w:rPr>
              <w:t xml:space="preserve">Le Flux Tampon Deal Comité se déclenche quand la résolution est définie</w:t>
            </w:r>
          </w:p>
          <w:p>
            <w:pPr>
              <w:pStyle w:val="ListParagraph"/>
              <w:numPr>
                <w:ilvl w:val="0"/>
                <w:numId w:val="2"/>
              </w:numPr>
              <w:spacing w:after="30" w:before="30"/>
            </w:pPr>
            <w:r>
              <w:rPr>
                <w:rFonts w:ascii="Arial" w:cs="Arial" w:eastAsia="Arial" w:hAnsi="Arial"/>
                <w:b w:val="false"/>
                <w:bCs w:val="false"/>
                <w:color w:val="000000"/>
                <w:sz w:val="19"/>
                <w:szCs w:val="19"/>
              </w:rPr>
              <w:t xml:space="preserve">Cycle de vie complet du deal pour la catégorie de plus grand deal</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560"/>
        <w:gridCol w:w="3200"/>
        <w:gridCol w:w="2200"/>
      </w:tblGrid>
      <w:tr>
        <w:tc>
          <w:tcPr>
            <w:tcW w:type="dxa" w:w="4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center"/>
            </w:pPr>
            <w:r>
              <w:rPr>
                <w:rFonts w:ascii="Arial" w:cs="Arial" w:eastAsia="Arial" w:hAnsi="Arial"/>
                <w:b/>
                <w:bCs/>
                <w:i w:val="false"/>
                <w:iCs w:val="false"/>
                <w:color w:val="FFFFFF"/>
                <w:sz w:val="19"/>
                <w:szCs w:val="19"/>
              </w:rPr>
              <w:t xml:space="preserve">Étape</w:t>
            </w:r>
          </w:p>
        </w:tc>
        <w:tc>
          <w:tcPr>
            <w:tcW w:type="dxa" w:w="356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Action</w:t>
            </w:r>
          </w:p>
        </w:tc>
        <w:tc>
          <w:tcPr>
            <w:tcW w:type="dxa" w:w="32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Résultat Attendu</w:t>
            </w:r>
          </w:p>
        </w:tc>
        <w:tc>
          <w:tcPr>
            <w:tcW w:type="dxa" w:w="22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Porte / Règle</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1</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Créer Dossier de Financement pour Brazzaville Energy Holdings SARL
Montant Total = 3 200 000
Indicateur Comité = ✅ Vrai
Objet = Construction
Tous prérequis : Facilité (Prêt Construction, 10,00%, 60 mois), Collatéral (Immeuble Commercial 6M$), Covenants, Documents, Mémo de Crédit
Soumettre pour approbation</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Approbation initiée. Le système évalue : Indicateur Comité = Vrai → CONTOURNER Niveaux 1 et 2. Route DIRECTEMENT au Niveau 3 — Fatima Diallo (DF).</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Routage : Indicateur Comité = Vrai → direct au Niveau 3</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2</w:t>
            </w:r>
          </w:p>
        </w:tc>
        <w:tc>
          <w:tcPr>
            <w:tcW w:type="dxa" w:w="3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Se connecter en tant que Fatima Diallo (DF)
Ouvrir la Demande d'Approbation
Examiner le deal de 3,2M$</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Demande d'approbation visible. Dossier verrouillé. Fatima voit tous les détails au Niveau 3.</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3</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Fatima approuve avec commentaire : "Approuvé sous réserve du vote formel du comité et du package de covenants."</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Approbation Niveau 3 confirmée. Étape = Approuvé. Date d'Approbation et Date d'Expiration requises.</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Approbation finale — Date Approbation + Date Expiration requises</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4</w:t>
            </w:r>
          </w:p>
        </w:tc>
        <w:tc>
          <w:tcPr>
            <w:tcW w:type="dxa" w:w="3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Naviguer vers Réunions Comité de Crédit → Nouveau
Date de Réunion = aujourd'hui
Dossier = Brazzaville Energy Holdings
Votes Pour = 6
Votes Contre = 1
Abstentions = 0
Quorum Atteint = ✅
Résolution = Approuvé
Enregistrer</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Réunion du Comité sauvegardée. La formule Pourcentage d'Approbation calcule automatiquement : 85,7% (6 sur 7 votes). Le Flux Tampon Deal Comité se déclenche.</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Flux : Committee Deal Stamp Flow V1 · Formule : Approval_Percentage__c</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5</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Vérifier l'enregistrement du Dossier de Financement
Confirmer le tampon du Comité appliqué</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Le Dossier de Financement affiche la résolution du comité depuis le flux tampon. Le deal est entièrement documenté.</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6</w:t>
            </w:r>
          </w:p>
        </w:tc>
        <w:tc>
          <w:tcPr>
            <w:tcW w:type="dxa" w:w="3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Vérifier le Journal d'Audit sur le Dossier</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Piste d'audit complète : chaque changement d'étape, événement d'approbation, résolution du comité — tous enregistrés définitivement avec horodatages.</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Piste d'audit complète confirmée</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7</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Vérifier les 2 tâches post-approbation créées automatiquement
Préparer Lettre d'Offre de Prêt (3 jours)
Compléter Documentation et Comptabilisation (7 jours)</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Les deux tâches visibles dans le Fil d'Activité avec dates d'échéance et assignments corrects.</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Flux : CF360 Créer Tâches Approbation V1</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490" w:val="clear"/>
            <w:tcMar>
              <w:top w:type="dxa" w:w="140"/>
              <w:left w:type="dxa" w:w="240"/>
              <w:bottom w:type="dxa" w:w="140"/>
              <w:right w:type="dxa" w:w="240"/>
            </w:tcMar>
          </w:tcPr>
          <w:p>
            <w:pPr>
              <w:spacing w:after="30" w:before="0"/>
            </w:pPr>
            <w:r>
              <w:rPr>
                <w:rFonts w:ascii="Arial" w:cs="Arial" w:eastAsia="Arial" w:hAnsi="Arial"/>
                <w:b/>
                <w:bCs/>
                <w:color w:val="FFFFFF"/>
                <w:sz w:val="26"/>
                <w:szCs w:val="26"/>
              </w:rPr>
              <w:t xml:space="preserve">TEST T-10  —  Scoring de Crédit Alternatif — Emprunteur Secteur Informel</w:t>
            </w:r>
          </w:p>
          <w:p>
            <w:pPr>
              <w:spacing w:after="20" w:before="0"/>
            </w:pPr>
            <w:r>
              <w:rPr>
                <w:rFonts w:ascii="Arial" w:cs="Arial" w:eastAsia="Arial" w:hAnsi="Arial"/>
                <w:color w:val="DDDDDD"/>
                <w:sz w:val="17"/>
                <w:szCs w:val="17"/>
              </w:rPr>
              <w:t xml:space="preserve">🌍 Pays : Mali  ·  💱 Devise : XOF — CFA Franc BCEAO  ·  🏦 Emprunteur : Fatoumata Konaré Association de Marché</w:t>
            </w:r>
          </w:p>
          <w:p>
            <w:pPr>
              <w:spacing w:after="0" w:before="0"/>
            </w:pPr>
            <w:r>
              <w:rPr>
                <w:rFonts w:ascii="Arial" w:cs="Arial" w:eastAsia="Arial" w:hAnsi="Arial"/>
                <w:color w:val="DDDDDD"/>
                <w:sz w:val="17"/>
                <w:szCs w:val="17"/>
              </w:rPr>
              <w:t xml:space="preserve">📋 Type de Prêt : Prêt Microfinance  ·  💰 Montant : 12 000$ (≈ XOF 6 768 000)  ·  ✅ Approbation : Niveau 1</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0E7490" w:val="clear"/>
            <w:tcMar>
              <w:top w:type="dxa" w:w="100"/>
              <w:left w:type="dxa" w:w="160"/>
              <w:bottom w:type="dxa" w:w="100"/>
              <w:right w:type="dxa" w:w="160"/>
            </w:tcMar>
          </w:tcPr>
          <w:p>
            <w:pPr>
              <w:spacing w:after="30" w:before="0"/>
              <w:jc w:val="left"/>
            </w:pPr>
            <w:r>
              <w:rPr>
                <w:rFonts w:ascii="Arial" w:cs="Arial" w:eastAsia="Arial" w:hAnsi="Arial"/>
                <w:b/>
                <w:bCs/>
                <w:i w:val="false"/>
                <w:iCs w:val="false"/>
                <w:color w:val="FFFFFF"/>
                <w:sz w:val="18"/>
                <w:szCs w:val="18"/>
              </w:rPr>
              <w:t xml:space="preserve">👤 Rôle Exécutant ce Test</w:t>
            </w:r>
          </w:p>
          <w:p>
            <w:pPr>
              <w:spacing w:after="0" w:before="0"/>
              <w:jc w:val="left"/>
            </w:pPr>
            <w:r>
              <w:rPr>
                <w:rFonts w:ascii="Arial" w:cs="Arial" w:eastAsia="Arial" w:hAnsi="Arial"/>
                <w:b/>
                <w:bCs/>
                <w:i w:val="false"/>
                <w:iCs w:val="false"/>
                <w:color w:val="FFFFFF"/>
                <w:sz w:val="20"/>
                <w:szCs w:val="20"/>
              </w:rPr>
              <w:t xml:space="preserve">Chargé de Relation (collecte) → Chargé de Crédit (lit suggestion, définit Niveau de Risque)</w:t>
            </w:r>
          </w:p>
        </w:tc>
        <w:tc>
          <w:tcPr>
            <w:tcW w:type="dxa" w:w="4680"/>
            <w:tcBorders>
              <w:top w:val="none" w:color="FFFFFF" w:sz="0"/>
              <w:left w:val="none" w:color="FFFFFF" w:sz="0"/>
              <w:bottom w:val="none" w:color="FFFFFF" w:sz="0"/>
              <w:right w:val="none" w:color="FFFFFF" w:sz="0"/>
            </w:tcBorders>
            <w:shd w:fill="F8FAFC" w:val="clear"/>
            <w:tcMar>
              <w:top w:type="dxa" w:w="100"/>
              <w:left w:type="dxa" w:w="160"/>
              <w:bottom w:type="dxa" w:w="100"/>
              <w:right w:type="dxa" w:w="160"/>
            </w:tcMar>
          </w:tcPr>
          <w:p>
            <w:pPr>
              <w:spacing w:after="30" w:before="0"/>
              <w:jc w:val="left"/>
            </w:pPr>
            <w:r>
              <w:rPr>
                <w:rFonts w:ascii="Arial" w:cs="Arial" w:eastAsia="Arial" w:hAnsi="Arial"/>
                <w:b/>
                <w:bCs/>
                <w:i w:val="false"/>
                <w:iCs w:val="false"/>
                <w:color w:val="0D1F3C"/>
                <w:sz w:val="18"/>
                <w:szCs w:val="18"/>
              </w:rPr>
              <w:t xml:space="preserve">Pourquoi ce rôle ?</w:t>
            </w:r>
          </w:p>
          <w:p>
            <w:pPr>
              <w:spacing w:after="0" w:before="0"/>
              <w:jc w:val="left"/>
            </w:pPr>
            <w:r>
              <w:rPr>
                <w:rFonts w:ascii="Arial" w:cs="Arial" w:eastAsia="Arial" w:hAnsi="Arial"/>
                <w:b w:val="false"/>
                <w:bCs w:val="false"/>
                <w:i w:val="false"/>
                <w:iCs w:val="false"/>
                <w:color w:val="000000"/>
                <w:sz w:val="18"/>
                <w:szCs w:val="18"/>
              </w:rPr>
              <w:t xml:space="preserve">Fatoumata Konaré est une vendeuse de marché à Bamako sans historique bancaire formel. Le Chargé de Relation collecte les entrées de scoring alternatif. Le système calcule une suggestion. Le Chargé de Crédit lit la suggestion et définit le Niveau de Risque officiel — qui alimente la formule Score de Risque.</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3"/>
              <w:left w:val="single" w:color="0E7490" w:sz="3"/>
              <w:bottom w:val="single" w:color="0E7490" w:sz="1"/>
              <w:right w:val="single" w:color="0E7490" w:sz="1"/>
            </w:tcBorders>
            <w:shd w:fill="CFFAFE" w:val="clear"/>
            <w:tcMar>
              <w:top w:type="dxa" w:w="120"/>
              <w:left w:type="dxa" w:w="200"/>
              <w:bottom w:type="dxa" w:w="120"/>
              <w:right w:type="dxa" w:w="200"/>
            </w:tcMar>
          </w:tcPr>
          <w:p>
            <w:pPr>
              <w:spacing w:after="60" w:before="0"/>
              <w:jc w:val="left"/>
            </w:pPr>
            <w:r>
              <w:rPr>
                <w:rFonts w:ascii="Arial" w:cs="Arial" w:eastAsia="Arial" w:hAnsi="Arial"/>
                <w:b/>
                <w:bCs/>
                <w:i w:val="false"/>
                <w:iCs w:val="false"/>
                <w:color w:val="0E7490"/>
                <w:sz w:val="19"/>
                <w:szCs w:val="19"/>
              </w:rPr>
              <w:t xml:space="preserve">Ce que ce test valide</w:t>
            </w:r>
          </w:p>
          <w:p>
            <w:pPr>
              <w:pStyle w:val="ListParagraph"/>
              <w:numPr>
                <w:ilvl w:val="0"/>
                <w:numId w:val="2"/>
              </w:numPr>
              <w:spacing w:after="30" w:before="30"/>
            </w:pPr>
            <w:r>
              <w:rPr>
                <w:rFonts w:ascii="Arial" w:cs="Arial" w:eastAsia="Arial" w:hAnsi="Arial"/>
                <w:b w:val="false"/>
                <w:bCs w:val="false"/>
                <w:color w:val="000000"/>
                <w:sz w:val="19"/>
                <w:szCs w:val="19"/>
              </w:rPr>
              <w:t xml:space="preserve">Entrées de scoring de crédit alternatif capturées par le Chargé de Relation</w:t>
            </w:r>
          </w:p>
          <w:p>
            <w:pPr>
              <w:pStyle w:val="ListParagraph"/>
              <w:numPr>
                <w:ilvl w:val="0"/>
                <w:numId w:val="2"/>
              </w:numPr>
              <w:spacing w:after="30" w:before="30"/>
            </w:pPr>
            <w:r>
              <w:rPr>
                <w:rFonts w:ascii="Arial" w:cs="Arial" w:eastAsia="Arial" w:hAnsi="Arial"/>
                <w:b w:val="false"/>
                <w:bCs w:val="false"/>
                <w:color w:val="000000"/>
                <w:sz w:val="19"/>
                <w:szCs w:val="19"/>
              </w:rPr>
              <w:t xml:space="preserve">La formule Niveau de Risque Suggéré calcule automatiquement selon 4 entrées</w:t>
            </w:r>
          </w:p>
          <w:p>
            <w:pPr>
              <w:pStyle w:val="ListParagraph"/>
              <w:numPr>
                <w:ilvl w:val="0"/>
                <w:numId w:val="2"/>
              </w:numPr>
              <w:spacing w:after="30" w:before="30"/>
            </w:pPr>
            <w:r>
              <w:rPr>
                <w:rFonts w:ascii="Arial" w:cs="Arial" w:eastAsia="Arial" w:hAnsi="Arial"/>
                <w:b w:val="false"/>
                <w:bCs w:val="false"/>
                <w:color w:val="000000"/>
                <w:sz w:val="19"/>
                <w:szCs w:val="19"/>
              </w:rPr>
              <w:t xml:space="preserve">Différentes combinaisons d'entrées produisent différentes suggestions</w:t>
            </w:r>
          </w:p>
          <w:p>
            <w:pPr>
              <w:pStyle w:val="ListParagraph"/>
              <w:numPr>
                <w:ilvl w:val="0"/>
                <w:numId w:val="2"/>
              </w:numPr>
              <w:spacing w:after="30" w:before="30"/>
            </w:pPr>
            <w:r>
              <w:rPr>
                <w:rFonts w:ascii="Arial" w:cs="Arial" w:eastAsia="Arial" w:hAnsi="Arial"/>
                <w:b w:val="false"/>
                <w:bCs w:val="false"/>
                <w:color w:val="000000"/>
                <w:sz w:val="19"/>
                <w:szCs w:val="19"/>
              </w:rPr>
              <w:t xml:space="preserve">Le Chargé de Crédit définit le Niveau de Risque qui alimente le Score de Risque (30/100 points)</w:t>
            </w:r>
          </w:p>
          <w:p>
            <w:pPr>
              <w:pStyle w:val="ListParagraph"/>
              <w:numPr>
                <w:ilvl w:val="0"/>
                <w:numId w:val="2"/>
              </w:numPr>
              <w:spacing w:after="30" w:before="30"/>
            </w:pPr>
            <w:r>
              <w:rPr>
                <w:rFonts w:ascii="Arial" w:cs="Arial" w:eastAsia="Arial" w:hAnsi="Arial"/>
                <w:b w:val="false"/>
                <w:bCs w:val="false"/>
                <w:color w:val="000000"/>
                <w:sz w:val="19"/>
                <w:szCs w:val="19"/>
              </w:rPr>
              <w:t xml:space="preserve">Le Score de Risque sur le Dossier se recalcule selon le Niveau de Risque</w:t>
            </w:r>
          </w:p>
          <w:p>
            <w:pPr>
              <w:pStyle w:val="ListParagraph"/>
              <w:numPr>
                <w:ilvl w:val="0"/>
                <w:numId w:val="2"/>
              </w:numPr>
              <w:spacing w:after="30" w:before="30"/>
            </w:pPr>
            <w:r>
              <w:rPr>
                <w:rFonts w:ascii="Arial" w:cs="Arial" w:eastAsia="Arial" w:hAnsi="Arial"/>
                <w:b w:val="false"/>
                <w:bCs w:val="false"/>
                <w:color w:val="000000"/>
                <w:sz w:val="19"/>
                <w:szCs w:val="19"/>
              </w:rPr>
              <w:t xml:space="preserve">Workflow complet de scoring alternatif pour emprunteurs du secteur informel</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560"/>
        <w:gridCol w:w="3200"/>
        <w:gridCol w:w="2200"/>
      </w:tblGrid>
      <w:tr>
        <w:tc>
          <w:tcPr>
            <w:tcW w:type="dxa" w:w="4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center"/>
            </w:pPr>
            <w:r>
              <w:rPr>
                <w:rFonts w:ascii="Arial" w:cs="Arial" w:eastAsia="Arial" w:hAnsi="Arial"/>
                <w:b/>
                <w:bCs/>
                <w:i w:val="false"/>
                <w:iCs w:val="false"/>
                <w:color w:val="FFFFFF"/>
                <w:sz w:val="19"/>
                <w:szCs w:val="19"/>
              </w:rPr>
              <w:t xml:space="preserve">Étape</w:t>
            </w:r>
          </w:p>
        </w:tc>
        <w:tc>
          <w:tcPr>
            <w:tcW w:type="dxa" w:w="356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Action</w:t>
            </w:r>
          </w:p>
        </w:tc>
        <w:tc>
          <w:tcPr>
            <w:tcW w:type="dxa" w:w="32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Résultat Attendu</w:t>
            </w:r>
          </w:p>
        </w:tc>
        <w:tc>
          <w:tcPr>
            <w:tcW w:type="dxa" w:w="22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Porte / Règle</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1</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Créer Compte : Fatoumata Konaré Association de Marché
Type de Client = Microfinance
Secteur = Activité Informelle/Microfinance
Marché Principal = Mali
Enregistrer</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La devise du Compte se règle automatiquement sur XOF. L'enregistrement est sauvegardé à l'étape Identité Emprunteur.</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Flux : Régler Devise Compte depuis Marché Principal V1</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2</w:t>
            </w:r>
          </w:p>
        </w:tc>
        <w:tc>
          <w:tcPr>
            <w:tcW w:type="dxa" w:w="3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Modifier Compte → faire défiler vers section Scoring de Crédit Alternatif
Secteur Informel = ✅
Activité Mobile Money = Nulle
Historique Paiements Factures = Pas d'Historique
Membre Association Marché = ❌
Enregistrer</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Le Niveau de Risque Suggéré affiche : Suggéré : RISQUE TRÈS ÉLEVÉ — basé sur l'absence d'activité mobile money et d'historique de paiement.</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Formule : Suggested_Risk_Level__c — chemin Risque Très Élevé</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3</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Modifier Compte → changer les entrées de Scoring Alternatif :
Activité Mobile Money = Élevée
Historique Paiements Factures = Excellent
Membre Association Marché = ✅
Enregistrer</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Le Niveau de Risque Suggéré affiche maintenant : Suggéré : RISQUE FAIBLE — Mobile money élevé + Excellent paiements + Membre association = meilleure combinaison de scoring.</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Formule : Suggested_Risk_Level__c — chemin Risque Faible</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4</w:t>
            </w:r>
          </w:p>
        </w:tc>
        <w:tc>
          <w:tcPr>
            <w:tcW w:type="dxa" w:w="3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Le Chargé de Crédit examine Niveau de Risque Suggéré = RISQUE FAIBLE
Définit Niveau de Risque = Faible (dans la section Évaluation Crédit)
Enregistrer</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Niveau de Risque = Faible sauvegardé sur le Compte. Cela contribuera 30 points au Score de Risque sur tout Dossier de Financement pour cet emprunteur.</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Niveau de Risque défini — alimente la formule Score de Risque</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5</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Créer Dossier de Financement pour Fatoumata Konaré
Montant Total = 12 000
Objet = Intrants Agricoles
Observer le Score de Risque</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Le Score de Risque calcule automatiquement :
Statut KYC : En attente = 8pts
Niveau de Risque : Faible = 30pts
Secteur : Informel/Microfinance = 6pts
Taille Deal : ≤50K$ = 12pts
Type de Client : Microfinance = 6pts
Score Total = 62 — BON</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Formule Score de Risque : 5 dimensions confirmées</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6</w:t>
            </w:r>
          </w:p>
        </w:tc>
        <w:tc>
          <w:tcPr>
            <w:tcW w:type="dxa" w:w="3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Définir Statut KYC = Vérifié sur le Compte (après saisie du Numéro Fiscal)
Observer la mise à jour du Score de Risque sur le Dossier</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Le Score de Risque se recalcule : KYC maintenant 20pts au lieu de 8pts. Nouveau total = 74 — BON. Le score s'améliore avec la vérification KYC.</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Le Score de Risque se recalcule automatiquement au changement de champ du Compte</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7</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Vérifier Niveau de Risque Suggéré quand Secteur Informel = ❌ décoché</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Le Niveau de Risque Suggéré affiche : N/A — Utiliser le champ Niveau de Risque. Correct — pour les emprunteurs formels, l'évaluation standard du Niveau de Risque s'applique.</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La formule gère correctement les emprunteurs formels et informels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F3C" w:val="clear"/>
            <w:tcMar>
              <w:top w:type="dxa" w:w="300"/>
              <w:left w:type="dxa" w:w="300"/>
              <w:bottom w:type="dxa" w:w="300"/>
              <w:right w:type="dxa" w:w="300"/>
            </w:tcMar>
          </w:tcPr>
          <w:p>
            <w:pPr>
              <w:spacing w:after="80" w:before="0"/>
              <w:jc w:val="center"/>
            </w:pPr>
            <w:r>
              <w:rPr>
                <w:rFonts w:ascii="Arial" w:cs="Arial" w:eastAsia="Arial" w:hAnsi="Arial"/>
                <w:b/>
                <w:bCs/>
                <w:color w:val="FFFFFF"/>
                <w:sz w:val="32"/>
                <w:szCs w:val="32"/>
              </w:rPr>
              <w:t xml:space="preserve">Tests CF360 Terminés</w:t>
            </w:r>
          </w:p>
          <w:p>
            <w:pPr>
              <w:spacing w:after="80" w:before="0"/>
              <w:jc w:val="center"/>
            </w:pPr>
            <w:r>
              <w:rPr>
                <w:rFonts w:ascii="Arial" w:cs="Arial" w:eastAsia="Arial" w:hAnsi="Arial"/>
                <w:color w:val="AAAAAA"/>
                <w:sz w:val="18"/>
                <w:szCs w:val="18"/>
              </w:rPr>
              <w:t xml:space="preserve">10 Scénarios  ·  10 Pays  ·  Tous les Rôles  ·  Tous les Workflows</w:t>
            </w:r>
          </w:p>
          <w:p>
            <w:pPr>
              <w:spacing w:after="0" w:before="0"/>
              <w:jc w:val="center"/>
            </w:pPr>
            <w:r>
              <w:rPr>
                <w:rFonts w:ascii="Arial" w:cs="Arial" w:eastAsia="Arial" w:hAnsi="Arial"/>
                <w:color w:val="60A5FA"/>
                <w:sz w:val="16"/>
                <w:szCs w:val="16"/>
              </w:rPr>
              <w:t xml:space="preserve">Sénégal · Nigéria · Cameroun · Ghana · Côte d'Ivoire · Kenya · Rwanda · Libéria · Congo · Mali</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2026-05-28T15:35:45.415Z</dcterms:created>
  <dcterms:modified xsi:type="dcterms:W3CDTF">2026-05-28T15:35:45.430Z</dcterms:modified>
</cp:coreProperties>
</file>

<file path=docProps/custom.xml><?xml version="1.0" encoding="utf-8"?>
<Properties xmlns="http://schemas.openxmlformats.org/officeDocument/2006/custom-properties" xmlns:vt="http://schemas.openxmlformats.org/officeDocument/2006/docPropsVTypes"/>
</file>