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3C" w:val="clear"/>
            <w:tcMar>
              <w:top w:type="dxa" w:w="600"/>
              <w:left w:type="dxa" w:w="400"/>
              <w:bottom w:type="dxa" w:w="600"/>
              <w:right w:type="dxa" w:w="400"/>
            </w:tcMar>
          </w:tcPr>
          <w:p>
            <w:pPr>
              <w:spacing w:after="60" w:before="0"/>
              <w:jc w:val="center"/>
            </w:pPr>
            <w:r>
              <w:rPr>
                <w:rFonts w:ascii="Arial" w:cs="Arial" w:eastAsia="Arial" w:hAnsi="Arial"/>
                <w:b/>
                <w:bCs/>
                <w:color w:val="FFFFFF"/>
                <w:sz w:val="72"/>
                <w:szCs w:val="72"/>
              </w:rPr>
              <w:t xml:space="preserve">CoreFinance360</w:t>
            </w:r>
          </w:p>
          <w:p>
            <w:pPr>
              <w:spacing w:after="60" w:before="0"/>
              <w:jc w:val="center"/>
            </w:pPr>
            <w:r>
              <w:rPr>
                <w:rFonts w:ascii="Arial" w:cs="Arial" w:eastAsia="Arial" w:hAnsi="Arial"/>
                <w:b/>
                <w:bCs/>
                <w:color w:val="60A5FA"/>
                <w:sz w:val="44"/>
                <w:szCs w:val="44"/>
              </w:rPr>
              <w:t xml:space="preserve">CF360</w:t>
            </w:r>
          </w:p>
          <w:p>
            <w:pPr>
              <w:spacing w:after="100" w:before="0"/>
              <w:jc w:val="center"/>
            </w:pPr>
            <w:r>
              <w:rPr>
                <w:rFonts w:ascii="Arial" w:cs="Arial" w:eastAsia="Arial" w:hAnsi="Arial"/>
                <w:b/>
                <w:bCs/>
                <w:color w:val="E0E8FF"/>
                <w:sz w:val="32"/>
                <w:szCs w:val="32"/>
              </w:rPr>
              <w:t xml:space="preserve">Master Project Summary</w:t>
            </w:r>
          </w:p>
          <w:p>
            <w:pPr>
              <w:spacing w:after="60" w:before="0"/>
              <w:jc w:val="center"/>
            </w:pPr>
            <w:r>
              <w:rPr>
                <w:rFonts w:ascii="Arial" w:cs="Arial" w:eastAsia="Arial" w:hAnsi="Arial"/>
                <w:i/>
                <w:iCs/>
                <w:color w:val="AAAAAA"/>
                <w:sz w:val="20"/>
                <w:szCs w:val="20"/>
              </w:rPr>
              <w:t xml:space="preserve">Complete Reference — All Components, Layers, Flows, Rules &amp; Architecture</w:t>
            </w:r>
          </w:p>
          <w:p>
            <w:pPr>
              <w:spacing w:after="0" w:before="120"/>
              <w:jc w:val="center"/>
            </w:pPr>
            <w:r>
              <w:rPr>
                <w:rFonts w:ascii="Arial" w:cs="Arial" w:eastAsia="Arial" w:hAnsi="Arial"/>
                <w:color w:val="666666"/>
                <w:sz w:val="17"/>
                <w:szCs w:val="17"/>
              </w:rPr>
              <w:t xml:space="preserve">Built by Therence Ngoa  ·  May 2026  ·  Salesforce Developer Edition  ·  BCEAO/CEMAC African Banking Platform</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1A56DB" w:sz="1"/>
              <w:left w:val="single" w:color="1A56DB" w:sz="1"/>
              <w:bottom w:val="single" w:color="1A56DB" w:sz="1"/>
              <w:right w:val="single" w:color="1A56DB" w:sz="1"/>
            </w:tcBorders>
            <w:shd w:fill="EBF2FF" w:val="clear"/>
            <w:tcMar>
              <w:top w:type="dxa" w:w="100"/>
              <w:left w:type="dxa" w:w="60"/>
              <w:bottom w:type="dxa" w:w="100"/>
              <w:right w:type="dxa" w:w="60"/>
            </w:tcMar>
          </w:tcPr>
          <w:p>
            <w:pPr>
              <w:spacing w:after="20" w:before="0"/>
              <w:jc w:val="center"/>
            </w:pPr>
            <w:r>
              <w:rPr>
                <w:rFonts w:ascii="Arial" w:cs="Arial" w:eastAsia="Arial" w:hAnsi="Arial"/>
                <w:b/>
                <w:bCs/>
                <w:color w:val="1A56DB"/>
                <w:sz w:val="32"/>
                <w:szCs w:val="32"/>
              </w:rPr>
              <w:t xml:space="preserve">12</w:t>
            </w:r>
          </w:p>
          <w:p>
            <w:pPr>
              <w:spacing w:after="0" w:before="0"/>
              <w:jc w:val="center"/>
            </w:pPr>
            <w:r>
              <w:rPr>
                <w:rFonts w:ascii="Arial" w:cs="Arial" w:eastAsia="Arial" w:hAnsi="Arial"/>
                <w:color w:val="64748B"/>
                <w:sz w:val="16"/>
                <w:szCs w:val="16"/>
              </w:rPr>
              <w:t xml:space="preserve">Objects</w:t>
            </w:r>
          </w:p>
        </w:tc>
        <w:tc>
          <w:tcPr>
            <w:tcW w:type="dxa" w:w="1560"/>
            <w:tcBorders>
              <w:top w:val="single" w:color="1A56DB" w:sz="1"/>
              <w:left w:val="single" w:color="1A56DB" w:sz="1"/>
              <w:bottom w:val="single" w:color="1A56DB" w:sz="1"/>
              <w:right w:val="single" w:color="1A56DB" w:sz="1"/>
            </w:tcBorders>
            <w:shd w:fill="EBF2FF" w:val="clear"/>
            <w:tcMar>
              <w:top w:type="dxa" w:w="100"/>
              <w:left w:type="dxa" w:w="60"/>
              <w:bottom w:type="dxa" w:w="100"/>
              <w:right w:type="dxa" w:w="60"/>
            </w:tcMar>
          </w:tcPr>
          <w:p>
            <w:pPr>
              <w:spacing w:after="20" w:before="0"/>
              <w:jc w:val="center"/>
            </w:pPr>
            <w:r>
              <w:rPr>
                <w:rFonts w:ascii="Arial" w:cs="Arial" w:eastAsia="Arial" w:hAnsi="Arial"/>
                <w:b/>
                <w:bCs/>
                <w:color w:val="1A56DB"/>
                <w:sz w:val="32"/>
                <w:szCs w:val="32"/>
              </w:rPr>
              <w:t xml:space="preserve">27+</w:t>
            </w:r>
          </w:p>
          <w:p>
            <w:pPr>
              <w:spacing w:after="0" w:before="0"/>
              <w:jc w:val="center"/>
            </w:pPr>
            <w:r>
              <w:rPr>
                <w:rFonts w:ascii="Arial" w:cs="Arial" w:eastAsia="Arial" w:hAnsi="Arial"/>
                <w:color w:val="64748B"/>
                <w:sz w:val="16"/>
                <w:szCs w:val="16"/>
              </w:rPr>
              <w:t xml:space="preserve">Flows</w:t>
            </w:r>
          </w:p>
        </w:tc>
        <w:tc>
          <w:tcPr>
            <w:tcW w:type="dxa" w:w="1560"/>
            <w:tcBorders>
              <w:top w:val="single" w:color="1A56DB" w:sz="1"/>
              <w:left w:val="single" w:color="1A56DB" w:sz="1"/>
              <w:bottom w:val="single" w:color="1A56DB" w:sz="1"/>
              <w:right w:val="single" w:color="1A56DB" w:sz="1"/>
            </w:tcBorders>
            <w:shd w:fill="EBF2FF" w:val="clear"/>
            <w:tcMar>
              <w:top w:type="dxa" w:w="100"/>
              <w:left w:type="dxa" w:w="60"/>
              <w:bottom w:type="dxa" w:w="100"/>
              <w:right w:type="dxa" w:w="60"/>
            </w:tcMar>
          </w:tcPr>
          <w:p>
            <w:pPr>
              <w:spacing w:after="20" w:before="0"/>
              <w:jc w:val="center"/>
            </w:pPr>
            <w:r>
              <w:rPr>
                <w:rFonts w:ascii="Arial" w:cs="Arial" w:eastAsia="Arial" w:hAnsi="Arial"/>
                <w:b/>
                <w:bCs/>
                <w:color w:val="1A56DB"/>
                <w:sz w:val="32"/>
                <w:szCs w:val="32"/>
              </w:rPr>
              <w:t xml:space="preserve">10</w:t>
            </w:r>
          </w:p>
          <w:p>
            <w:pPr>
              <w:spacing w:after="0" w:before="0"/>
              <w:jc w:val="center"/>
            </w:pPr>
            <w:r>
              <w:rPr>
                <w:rFonts w:ascii="Arial" w:cs="Arial" w:eastAsia="Arial" w:hAnsi="Arial"/>
                <w:color w:val="64748B"/>
                <w:sz w:val="16"/>
                <w:szCs w:val="16"/>
              </w:rPr>
              <w:t xml:space="preserve">Currencies</w:t>
            </w:r>
          </w:p>
        </w:tc>
        <w:tc>
          <w:tcPr>
            <w:tcW w:type="dxa" w:w="1560"/>
            <w:tcBorders>
              <w:top w:val="single" w:color="1A56DB" w:sz="1"/>
              <w:left w:val="single" w:color="1A56DB" w:sz="1"/>
              <w:bottom w:val="single" w:color="1A56DB" w:sz="1"/>
              <w:right w:val="single" w:color="1A56DB" w:sz="1"/>
            </w:tcBorders>
            <w:shd w:fill="EBF2FF" w:val="clear"/>
            <w:tcMar>
              <w:top w:type="dxa" w:w="100"/>
              <w:left w:type="dxa" w:w="60"/>
              <w:bottom w:type="dxa" w:w="100"/>
              <w:right w:type="dxa" w:w="60"/>
            </w:tcMar>
          </w:tcPr>
          <w:p>
            <w:pPr>
              <w:spacing w:after="20" w:before="0"/>
              <w:jc w:val="center"/>
            </w:pPr>
            <w:r>
              <w:rPr>
                <w:rFonts w:ascii="Arial" w:cs="Arial" w:eastAsia="Arial" w:hAnsi="Arial"/>
                <w:b/>
                <w:bCs/>
                <w:color w:val="1A56DB"/>
                <w:sz w:val="32"/>
                <w:szCs w:val="32"/>
              </w:rPr>
              <w:t xml:space="preserve">17</w:t>
            </w:r>
          </w:p>
          <w:p>
            <w:pPr>
              <w:spacing w:after="0" w:before="0"/>
              <w:jc w:val="center"/>
            </w:pPr>
            <w:r>
              <w:rPr>
                <w:rFonts w:ascii="Arial" w:cs="Arial" w:eastAsia="Arial" w:hAnsi="Arial"/>
                <w:color w:val="64748B"/>
                <w:sz w:val="16"/>
                <w:szCs w:val="16"/>
              </w:rPr>
              <w:t xml:space="preserve">Roles</w:t>
            </w:r>
          </w:p>
        </w:tc>
        <w:tc>
          <w:tcPr>
            <w:tcW w:type="dxa" w:w="1560"/>
            <w:tcBorders>
              <w:top w:val="single" w:color="1A56DB" w:sz="1"/>
              <w:left w:val="single" w:color="1A56DB" w:sz="1"/>
              <w:bottom w:val="single" w:color="1A56DB" w:sz="1"/>
              <w:right w:val="single" w:color="1A56DB" w:sz="1"/>
            </w:tcBorders>
            <w:shd w:fill="EBF2FF" w:val="clear"/>
            <w:tcMar>
              <w:top w:type="dxa" w:w="100"/>
              <w:left w:type="dxa" w:w="60"/>
              <w:bottom w:type="dxa" w:w="100"/>
              <w:right w:type="dxa" w:w="60"/>
            </w:tcMar>
          </w:tcPr>
          <w:p>
            <w:pPr>
              <w:spacing w:after="20" w:before="0"/>
              <w:jc w:val="center"/>
            </w:pPr>
            <w:r>
              <w:rPr>
                <w:rFonts w:ascii="Arial" w:cs="Arial" w:eastAsia="Arial" w:hAnsi="Arial"/>
                <w:b/>
                <w:bCs/>
                <w:color w:val="1A56DB"/>
                <w:sz w:val="32"/>
                <w:szCs w:val="32"/>
              </w:rPr>
              <w:t xml:space="preserve">3</w:t>
            </w:r>
          </w:p>
          <w:p>
            <w:pPr>
              <w:spacing w:after="0" w:before="0"/>
              <w:jc w:val="center"/>
            </w:pPr>
            <w:r>
              <w:rPr>
                <w:rFonts w:ascii="Arial" w:cs="Arial" w:eastAsia="Arial" w:hAnsi="Arial"/>
                <w:color w:val="64748B"/>
                <w:sz w:val="16"/>
                <w:szCs w:val="16"/>
              </w:rPr>
              <w:t xml:space="preserve">Approval Levels</w:t>
            </w:r>
          </w:p>
        </w:tc>
        <w:tc>
          <w:tcPr>
            <w:tcW w:type="dxa" w:w="1560"/>
            <w:tcBorders>
              <w:top w:val="single" w:color="1A56DB" w:sz="1"/>
              <w:left w:val="single" w:color="1A56DB" w:sz="1"/>
              <w:bottom w:val="single" w:color="1A56DB" w:sz="1"/>
              <w:right w:val="single" w:color="1A56DB" w:sz="1"/>
            </w:tcBorders>
            <w:shd w:fill="EBF2FF" w:val="clear"/>
            <w:tcMar>
              <w:top w:type="dxa" w:w="100"/>
              <w:left w:type="dxa" w:w="60"/>
              <w:bottom w:type="dxa" w:w="100"/>
              <w:right w:type="dxa" w:w="60"/>
            </w:tcMar>
          </w:tcPr>
          <w:p>
            <w:pPr>
              <w:spacing w:after="20" w:before="0"/>
              <w:jc w:val="center"/>
            </w:pPr>
            <w:r>
              <w:rPr>
                <w:rFonts w:ascii="Arial" w:cs="Arial" w:eastAsia="Arial" w:hAnsi="Arial"/>
                <w:b/>
                <w:bCs/>
                <w:color w:val="1A56DB"/>
                <w:sz w:val="32"/>
                <w:szCs w:val="32"/>
              </w:rPr>
              <w:t xml:space="preserve">7</w:t>
            </w:r>
          </w:p>
          <w:p>
            <w:pPr>
              <w:spacing w:after="0" w:before="0"/>
              <w:jc w:val="center"/>
            </w:pPr>
            <w:r>
              <w:rPr>
                <w:rFonts w:ascii="Arial" w:cs="Arial" w:eastAsia="Arial" w:hAnsi="Arial"/>
                <w:color w:val="64748B"/>
                <w:sz w:val="16"/>
                <w:szCs w:val="16"/>
              </w:rPr>
              <w:t xml:space="preserve">Layers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3C" w:val="clear"/>
            <w:tcMar>
              <w:top w:type="dxa" w:w="160"/>
              <w:left w:type="dxa" w:w="260"/>
              <w:bottom w:type="dxa" w:w="160"/>
              <w:right w:type="dxa" w:w="260"/>
            </w:tcMar>
          </w:tcPr>
          <w:p>
            <w:pPr>
              <w:spacing w:after="40" w:before="0"/>
            </w:pPr>
            <w:r>
              <w:rPr>
                <w:rFonts w:ascii="Arial" w:cs="Arial" w:eastAsia="Arial" w:hAnsi="Arial"/>
                <w:b/>
                <w:bCs/>
                <w:color w:val="FFFFFF"/>
                <w:sz w:val="30"/>
                <w:szCs w:val="30"/>
              </w:rPr>
              <w:t xml:space="preserve">SECTION 1 — PROJECT OVERVIEW</w:t>
            </w:r>
          </w:p>
          <w:p>
            <w:pPr>
              <w:spacing w:after="0" w:before="0"/>
            </w:pPr>
            <w:r>
              <w:rPr>
                <w:rFonts w:ascii="Arial" w:cs="Arial" w:eastAsia="Arial" w:hAnsi="Arial"/>
                <w:color w:val="CCCCCC"/>
                <w:sz w:val="18"/>
                <w:szCs w:val="18"/>
              </w:rPr>
              <w:t xml:space="preserve">What CF360 is, why it was built, and what it achieves</w:t>
            </w:r>
          </w:p>
        </w:tc>
      </w:tr>
    </w:tbl>
    <w:p>
      <w:pPr>
        <w:spacing w:after="60" w:before="120"/>
      </w:pPr>
      <w:r>
        <w:t xml:space="preserve"/>
      </w:r>
    </w:p>
    <w:p>
      <w:pPr>
        <w:spacing w:after="80" w:before="0"/>
        <w:jc w:val="left"/>
      </w:pPr>
      <w:r>
        <w:rPr>
          <w:rFonts w:ascii="Arial" w:cs="Arial" w:eastAsia="Arial" w:hAnsi="Arial"/>
          <w:b/>
          <w:bCs/>
          <w:i w:val="false"/>
          <w:iCs w:val="false"/>
          <w:color w:val="0D1F3C"/>
          <w:sz w:val="24"/>
          <w:szCs w:val="24"/>
        </w:rPr>
        <w:t xml:space="preserve">What is CoreFinance360?</w:t>
      </w:r>
    </w:p>
    <w:p>
      <w:pPr>
        <w:spacing w:after="60" w:before="0"/>
        <w:jc w:val="left"/>
      </w:pPr>
      <w:r>
        <w:rPr>
          <w:rFonts w:ascii="Arial" w:cs="Arial" w:eastAsia="Arial" w:hAnsi="Arial"/>
          <w:b w:val="false"/>
          <w:bCs w:val="false"/>
          <w:i w:val="false"/>
          <w:iCs w:val="false"/>
          <w:color w:val="000000"/>
          <w:sz w:val="19"/>
          <w:szCs w:val="19"/>
        </w:rPr>
        <w:t xml:space="preserve">CoreFinance360 (CF360) is a complete, enterprise-grade digital lending management platform built entirely on Salesforce using declarative tools — no Apex code. It is designed to simulate how a modern African bank or microfinance institution manages the complete credit lifecycle, from the first borrower meeting through underwriting, multi-level approval, disbursement, and ongoing portfolio monitoring.</w:t>
      </w:r>
    </w:p>
    <w:p>
      <w:pPr>
        <w:spacing w:after="60" w:before="0"/>
        <w:jc w:val="left"/>
      </w:pPr>
      <w:r>
        <w:rPr>
          <w:rFonts w:ascii="Arial" w:cs="Arial" w:eastAsia="Arial" w:hAnsi="Arial"/>
          <w:b w:val="false"/>
          <w:bCs w:val="false"/>
          <w:i w:val="false"/>
          <w:iCs w:val="false"/>
          <w:color w:val="000000"/>
          <w:sz w:val="19"/>
          <w:szCs w:val="19"/>
        </w:rPr>
        <w:t xml:space="preserve">The platform is architected on nCino design principles — using a central deal object (the Financing Package), stage-gated workflows, role-based access, and multi-level approval routing — but is an original build specifically extended to address African banking realities that traditional platforms do not serve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3"/>
              <w:left w:val="single" w:color="1A56DB" w:sz="3"/>
              <w:bottom w:val="single" w:color="1A56DB" w:sz="1"/>
              <w:right w:val="single" w:color="1A56DB" w:sz="1"/>
            </w:tcBorders>
            <w:shd w:fill="EBF2FF"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1A56DB"/>
                <w:sz w:val="19"/>
                <w:szCs w:val="19"/>
              </w:rPr>
              <w:t xml:space="preserve">Why CF360 Was Built</w:t>
            </w:r>
          </w:p>
          <w:p>
            <w:pPr>
              <w:pStyle w:val="ListParagraph"/>
              <w:numPr>
                <w:ilvl w:val="0"/>
                <w:numId w:val="2"/>
              </w:numPr>
              <w:spacing w:after="30" w:before="30"/>
            </w:pPr>
            <w:r>
              <w:rPr>
                <w:rFonts w:ascii="Arial" w:cs="Arial" w:eastAsia="Arial" w:hAnsi="Arial"/>
                <w:b w:val="false"/>
                <w:bCs w:val="false"/>
                <w:color w:val="000000"/>
                <w:sz w:val="19"/>
                <w:szCs w:val="19"/>
              </w:rPr>
              <w:t xml:space="preserve">Many African lending institutions still rely on manual, fragmented, or paper-based processes</w:t>
            </w:r>
          </w:p>
          <w:p>
            <w:pPr>
              <w:pStyle w:val="ListParagraph"/>
              <w:numPr>
                <w:ilvl w:val="0"/>
                <w:numId w:val="2"/>
              </w:numPr>
              <w:spacing w:after="30" w:before="30"/>
            </w:pPr>
            <w:r>
              <w:rPr>
                <w:rFonts w:ascii="Arial" w:cs="Arial" w:eastAsia="Arial" w:hAnsi="Arial"/>
                <w:b w:val="false"/>
                <w:bCs w:val="false"/>
                <w:color w:val="000000"/>
                <w:sz w:val="19"/>
                <w:szCs w:val="19"/>
              </w:rPr>
              <w:t xml:space="preserve">Large portions of the borrower population have no formal banking history or credit file</w:t>
            </w:r>
          </w:p>
          <w:p>
            <w:pPr>
              <w:pStyle w:val="ListParagraph"/>
              <w:numPr>
                <w:ilvl w:val="0"/>
                <w:numId w:val="2"/>
              </w:numPr>
              <w:spacing w:after="30" w:before="30"/>
            </w:pPr>
            <w:r>
              <w:rPr>
                <w:rFonts w:ascii="Arial" w:cs="Arial" w:eastAsia="Arial" w:hAnsi="Arial"/>
                <w:b w:val="false"/>
                <w:bCs w:val="false"/>
                <w:color w:val="000000"/>
                <w:sz w:val="19"/>
                <w:szCs w:val="19"/>
              </w:rPr>
              <w:t xml:space="preserve">Mobile money is the primary financial infrastructure for millions of borrowers</w:t>
            </w:r>
          </w:p>
          <w:p>
            <w:pPr>
              <w:pStyle w:val="ListParagraph"/>
              <w:numPr>
                <w:ilvl w:val="0"/>
                <w:numId w:val="2"/>
              </w:numPr>
              <w:spacing w:after="30" w:before="30"/>
            </w:pPr>
            <w:r>
              <w:rPr>
                <w:rFonts w:ascii="Arial" w:cs="Arial" w:eastAsia="Arial" w:hAnsi="Arial"/>
                <w:b w:val="false"/>
                <w:bCs w:val="false"/>
                <w:color w:val="000000"/>
                <w:sz w:val="19"/>
                <w:szCs w:val="19"/>
              </w:rPr>
              <w:t xml:space="preserve">Group lending structures — tontines, cooperatives, solidarity groups — are widespread</w:t>
            </w:r>
          </w:p>
          <w:p>
            <w:pPr>
              <w:pStyle w:val="ListParagraph"/>
              <w:numPr>
                <w:ilvl w:val="0"/>
                <w:numId w:val="2"/>
              </w:numPr>
              <w:spacing w:after="30" w:before="30"/>
            </w:pPr>
            <w:r>
              <w:rPr>
                <w:rFonts w:ascii="Arial" w:cs="Arial" w:eastAsia="Arial" w:hAnsi="Arial"/>
                <w:b w:val="false"/>
                <w:bCs w:val="false"/>
                <w:color w:val="000000"/>
                <w:sz w:val="19"/>
                <w:szCs w:val="19"/>
              </w:rPr>
              <w:t xml:space="preserve">Multi-currency environments spanning BCEAO, CEMAC, and anglophone African markets require flexible architecture</w:t>
            </w:r>
          </w:p>
          <w:p>
            <w:pPr>
              <w:pStyle w:val="ListParagraph"/>
              <w:numPr>
                <w:ilvl w:val="0"/>
                <w:numId w:val="2"/>
              </w:numPr>
              <w:spacing w:after="30" w:before="30"/>
            </w:pPr>
            <w:r>
              <w:rPr>
                <w:rFonts w:ascii="Arial" w:cs="Arial" w:eastAsia="Arial" w:hAnsi="Arial"/>
                <w:b w:val="false"/>
                <w:bCs w:val="false"/>
                <w:color w:val="000000"/>
                <w:sz w:val="19"/>
                <w:szCs w:val="19"/>
              </w:rPr>
              <w:t xml:space="preserve">Regulatory compliance (BCEAO/CEMAC AML, covenant reporting, exposure limits) requires systematic enforcement</w:t>
            </w:r>
          </w:p>
        </w:tc>
      </w:tr>
    </w:tbl>
    <w:p>
      <w:pPr>
        <w:spacing w:after="60" w:before="100"/>
      </w:pPr>
      <w:r>
        <w:t xml:space="preserve"/>
      </w:r>
    </w:p>
    <w:p>
      <w:pPr>
        <w:spacing w:after="60" w:before="0"/>
        <w:jc w:val="left"/>
      </w:pPr>
      <w:r>
        <w:rPr>
          <w:rFonts w:ascii="Arial" w:cs="Arial" w:eastAsia="Arial" w:hAnsi="Arial"/>
          <w:b/>
          <w:bCs/>
          <w:i w:val="false"/>
          <w:iCs w:val="false"/>
          <w:color w:val="0D1F3C"/>
          <w:sz w:val="22"/>
          <w:szCs w:val="22"/>
        </w:rPr>
        <w:t xml:space="preserve">Platform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4532D" w:sz="1"/>
              <w:left w:val="single" w:color="14532D" w:sz="1"/>
              <w:bottom w:val="single" w:color="14532D" w:sz="1"/>
              <w:right w:val="single" w:color="14532D" w:sz="1"/>
            </w:tcBorders>
            <w:shd w:fill="DCFCE7" w:val="clear"/>
            <w:tcMar>
              <w:top w:type="dxa" w:w="120"/>
              <w:left w:type="dxa" w:w="160"/>
              <w:bottom w:type="dxa" w:w="120"/>
              <w:right w:type="dxa" w:w="160"/>
            </w:tcMar>
          </w:tcPr>
          <w:p>
            <w:pPr>
              <w:spacing w:after="40" w:before="0"/>
              <w:jc w:val="left"/>
            </w:pPr>
            <w:r>
              <w:rPr>
                <w:rFonts w:ascii="Arial" w:cs="Arial" w:eastAsia="Arial" w:hAnsi="Arial"/>
                <w:b/>
                <w:bCs/>
                <w:i w:val="false"/>
                <w:iCs w:val="false"/>
                <w:color w:val="14532D"/>
                <w:sz w:val="18"/>
                <w:szCs w:val="18"/>
              </w:rPr>
              <w:t xml:space="preserve">Platform Type</w:t>
            </w:r>
          </w:p>
          <w:p>
            <w:pPr>
              <w:pStyle w:val="ListParagraph"/>
              <w:numPr>
                <w:ilvl w:val="0"/>
                <w:numId w:val="2"/>
              </w:numPr>
              <w:spacing w:after="30" w:before="30"/>
            </w:pPr>
            <w:r>
              <w:rPr>
                <w:rFonts w:ascii="Arial" w:cs="Arial" w:eastAsia="Arial" w:hAnsi="Arial"/>
                <w:b w:val="false"/>
                <w:bCs w:val="false"/>
                <w:color w:val="000000"/>
                <w:sz w:val="19"/>
                <w:szCs w:val="19"/>
              </w:rPr>
              <w:t xml:space="preserve">Enterprise Lending Management System</w:t>
            </w:r>
          </w:p>
          <w:p>
            <w:pPr>
              <w:pStyle w:val="ListParagraph"/>
              <w:numPr>
                <w:ilvl w:val="0"/>
                <w:numId w:val="2"/>
              </w:numPr>
              <w:spacing w:after="30" w:before="30"/>
            </w:pPr>
            <w:r>
              <w:rPr>
                <w:rFonts w:ascii="Arial" w:cs="Arial" w:eastAsia="Arial" w:hAnsi="Arial"/>
                <w:b w:val="false"/>
                <w:bCs w:val="false"/>
                <w:color w:val="000000"/>
                <w:sz w:val="19"/>
                <w:szCs w:val="19"/>
              </w:rPr>
              <w:t xml:space="preserve">Salesforce Developer Edition — Declarative Only</w:t>
            </w:r>
          </w:p>
          <w:p>
            <w:pPr>
              <w:pStyle w:val="ListParagraph"/>
              <w:numPr>
                <w:ilvl w:val="0"/>
                <w:numId w:val="2"/>
              </w:numPr>
              <w:spacing w:after="30" w:before="30"/>
            </w:pPr>
            <w:r>
              <w:rPr>
                <w:rFonts w:ascii="Arial" w:cs="Arial" w:eastAsia="Arial" w:hAnsi="Arial"/>
                <w:b w:val="false"/>
                <w:bCs w:val="false"/>
                <w:color w:val="000000"/>
                <w:sz w:val="19"/>
                <w:szCs w:val="19"/>
              </w:rPr>
              <w:t xml:space="preserve">No Apex code — 100% clicks-based build</w:t>
            </w:r>
          </w:p>
          <w:p>
            <w:pPr>
              <w:pStyle w:val="ListParagraph"/>
              <w:numPr>
                <w:ilvl w:val="0"/>
                <w:numId w:val="2"/>
              </w:numPr>
              <w:spacing w:after="30" w:before="30"/>
            </w:pPr>
            <w:r>
              <w:rPr>
                <w:rFonts w:ascii="Arial" w:cs="Arial" w:eastAsia="Arial" w:hAnsi="Arial"/>
                <w:b w:val="false"/>
                <w:bCs w:val="false"/>
                <w:color w:val="000000"/>
                <w:sz w:val="19"/>
                <w:szCs w:val="19"/>
              </w:rPr>
              <w:t xml:space="preserve">nCino-inspired architecture pattern</w:t>
            </w:r>
          </w:p>
        </w:tc>
        <w:tc>
          <w:tcPr>
            <w:tcW w:type="dxa" w:w="4680"/>
            <w:tcBorders>
              <w:top w:val="single" w:color="C8920A" w:sz="1"/>
              <w:left w:val="single" w:color="C8920A" w:sz="1"/>
              <w:bottom w:val="single" w:color="C8920A" w:sz="1"/>
              <w:right w:val="single" w:color="C8920A" w:sz="1"/>
            </w:tcBorders>
            <w:shd w:fill="FFF8E6" w:val="clear"/>
            <w:tcMar>
              <w:top w:type="dxa" w:w="120"/>
              <w:left w:type="dxa" w:w="160"/>
              <w:bottom w:type="dxa" w:w="120"/>
              <w:right w:type="dxa" w:w="160"/>
            </w:tcMar>
          </w:tcPr>
          <w:p>
            <w:pPr>
              <w:spacing w:after="40" w:before="0"/>
              <w:jc w:val="left"/>
            </w:pPr>
            <w:r>
              <w:rPr>
                <w:rFonts w:ascii="Arial" w:cs="Arial" w:eastAsia="Arial" w:hAnsi="Arial"/>
                <w:b/>
                <w:bCs/>
                <w:i w:val="false"/>
                <w:iCs w:val="false"/>
                <w:color w:val="C8920A"/>
                <w:sz w:val="18"/>
                <w:szCs w:val="18"/>
              </w:rPr>
              <w:t xml:space="preserve">Target Markets</w:t>
            </w:r>
          </w:p>
          <w:p>
            <w:pPr>
              <w:pStyle w:val="ListParagraph"/>
              <w:numPr>
                <w:ilvl w:val="0"/>
                <w:numId w:val="2"/>
              </w:numPr>
              <w:spacing w:after="30" w:before="30"/>
            </w:pPr>
            <w:r>
              <w:rPr>
                <w:rFonts w:ascii="Arial" w:cs="Arial" w:eastAsia="Arial" w:hAnsi="Arial"/>
                <w:b w:val="false"/>
                <w:bCs w:val="false"/>
                <w:color w:val="000000"/>
                <w:sz w:val="19"/>
                <w:szCs w:val="19"/>
              </w:rPr>
              <w:t xml:space="preserve">BCEAO Zone: Senegal, Ivory Coast, Mali, Burkina Faso</w:t>
            </w:r>
          </w:p>
          <w:p>
            <w:pPr>
              <w:pStyle w:val="ListParagraph"/>
              <w:numPr>
                <w:ilvl w:val="0"/>
                <w:numId w:val="2"/>
              </w:numPr>
              <w:spacing w:after="30" w:before="30"/>
            </w:pPr>
            <w:r>
              <w:rPr>
                <w:rFonts w:ascii="Arial" w:cs="Arial" w:eastAsia="Arial" w:hAnsi="Arial"/>
                <w:b w:val="false"/>
                <w:bCs w:val="false"/>
                <w:color w:val="000000"/>
                <w:sz w:val="19"/>
                <w:szCs w:val="19"/>
              </w:rPr>
              <w:t xml:space="preserve">CEMAC Zone: Cameroon, Congo</w:t>
            </w:r>
          </w:p>
          <w:p>
            <w:pPr>
              <w:pStyle w:val="ListParagraph"/>
              <w:numPr>
                <w:ilvl w:val="0"/>
                <w:numId w:val="2"/>
              </w:numPr>
              <w:spacing w:after="30" w:before="30"/>
            </w:pPr>
            <w:r>
              <w:rPr>
                <w:rFonts w:ascii="Arial" w:cs="Arial" w:eastAsia="Arial" w:hAnsi="Arial"/>
                <w:b w:val="false"/>
                <w:bCs w:val="false"/>
                <w:color w:val="000000"/>
                <w:sz w:val="19"/>
                <w:szCs w:val="19"/>
              </w:rPr>
              <w:t xml:space="preserve">Expansion: Nigeria, Ghana, Kenya, Rwanda, Liberia</w:t>
            </w:r>
          </w:p>
          <w:p>
            <w:pPr>
              <w:pStyle w:val="ListParagraph"/>
              <w:numPr>
                <w:ilvl w:val="0"/>
                <w:numId w:val="2"/>
              </w:numPr>
              <w:spacing w:after="30" w:before="30"/>
            </w:pPr>
            <w:r>
              <w:rPr>
                <w:rFonts w:ascii="Arial" w:cs="Arial" w:eastAsia="Arial" w:hAnsi="Arial"/>
                <w:b w:val="false"/>
                <w:bCs w:val="false"/>
                <w:color w:val="000000"/>
                <w:sz w:val="19"/>
                <w:szCs w:val="19"/>
              </w:rPr>
              <w:t xml:space="preserve">11 countries — 10 active currencies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60"/>
              <w:left w:type="dxa" w:w="260"/>
              <w:bottom w:type="dxa" w:w="160"/>
              <w:right w:type="dxa" w:w="260"/>
            </w:tcMar>
          </w:tcPr>
          <w:p>
            <w:pPr>
              <w:spacing w:after="40" w:before="0"/>
            </w:pPr>
            <w:r>
              <w:rPr>
                <w:rFonts w:ascii="Arial" w:cs="Arial" w:eastAsia="Arial" w:hAnsi="Arial"/>
                <w:b/>
                <w:bCs/>
                <w:color w:val="FFFFFF"/>
                <w:sz w:val="30"/>
                <w:szCs w:val="30"/>
              </w:rPr>
              <w:t xml:space="preserve">SECTION 2 — ARCHITECTURE</w:t>
            </w:r>
          </w:p>
          <w:p>
            <w:pPr>
              <w:spacing w:after="0" w:before="0"/>
            </w:pPr>
            <w:r>
              <w:rPr>
                <w:rFonts w:ascii="Arial" w:cs="Arial" w:eastAsia="Arial" w:hAnsi="Arial"/>
                <w:color w:val="CCCCCC"/>
                <w:sz w:val="18"/>
                <w:szCs w:val="18"/>
              </w:rPr>
              <w:t xml:space="preserve">7-Layer Platform Stack — from data foundation to mobile experience</w:t>
            </w:r>
          </w:p>
        </w:tc>
      </w:tr>
    </w:tbl>
    <w:p>
      <w:pPr>
        <w:spacing w:after="60" w:before="120"/>
      </w:pPr>
      <w:r>
        <w:t xml:space="preserve"/>
      </w:r>
    </w:p>
    <w:p>
      <w:pPr>
        <w:spacing w:after="60" w:before="0"/>
        <w:jc w:val="left"/>
      </w:pPr>
      <w:r>
        <w:rPr>
          <w:rFonts w:ascii="Arial" w:cs="Arial" w:eastAsia="Arial" w:hAnsi="Arial"/>
          <w:b/>
          <w:bCs/>
          <w:i w:val="false"/>
          <w:iCs w:val="false"/>
          <w:color w:val="0D1F3C"/>
          <w:sz w:val="22"/>
          <w:szCs w:val="22"/>
        </w:rPr>
        <w:t xml:space="preserve">Architecture Philosophy</w:t>
      </w:r>
    </w:p>
    <w:p>
      <w:pPr>
        <w:spacing w:after="60" w:before="0"/>
        <w:jc w:val="left"/>
      </w:pPr>
      <w:r>
        <w:rPr>
          <w:rFonts w:ascii="Arial" w:cs="Arial" w:eastAsia="Arial" w:hAnsi="Arial"/>
          <w:b w:val="false"/>
          <w:bCs w:val="false"/>
          <w:i w:val="false"/>
          <w:iCs w:val="false"/>
          <w:color w:val="000000"/>
          <w:sz w:val="19"/>
          <w:szCs w:val="19"/>
        </w:rPr>
        <w:t xml:space="preserve">CF360 is built in 7 distinct layers, each serving a specific function. Every layer builds on the one below it. Layers 1 through 4 are fully active in the Developer Edition org. Layers 5, 6, and 7 are either partially deployed or design-complete awaiting production licensing.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160"/>
        <w:gridCol w:w="1800"/>
        <w:gridCol w:w="1000"/>
      </w:tblGrid>
      <w:tr>
        <w:tc>
          <w:tcPr>
            <w:tcW w:type="dxa" w:w="6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FFFFFF"/>
                <w:sz w:val="19"/>
                <w:szCs w:val="19"/>
              </w:rPr>
              <w:t xml:space="preserve">Layer</w:t>
            </w:r>
          </w:p>
        </w:tc>
        <w:tc>
          <w:tcPr>
            <w:tcW w:type="dxa" w:w="18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Name</w:t>
            </w:r>
          </w:p>
        </w:tc>
        <w:tc>
          <w:tcPr>
            <w:tcW w:type="dxa" w:w="41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What it does</w:t>
            </w:r>
          </w:p>
        </w:tc>
        <w:tc>
          <w:tcPr>
            <w:tcW w:type="dxa" w:w="18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Key Components</w:t>
            </w:r>
          </w:p>
        </w:tc>
        <w:tc>
          <w:tcPr>
            <w:tcW w:type="dxa" w:w="10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FFFFFF"/>
                <w:sz w:val="19"/>
                <w:szCs w:val="19"/>
              </w:rPr>
              <w:t xml:space="preserve">Status</w:t>
            </w:r>
          </w:p>
        </w:tc>
      </w:tr>
      <w:tr>
        <w:tc>
          <w:tcPr>
            <w:tcW w:type="dxa" w:w="600"/>
            <w:tcBorders>
              <w:top w:val="single" w:color="E2E8F0" w:sz="1"/>
              <w:left w:val="single" w:color="E2E8F0" w:sz="1"/>
              <w:bottom w:val="single" w:color="E2E8F0" w:sz="1"/>
              <w:right w:val="single" w:color="E2E8F0" w:sz="1"/>
            </w:tcBorders>
            <w:shd w:fill="7C3AED" w:val="clear"/>
            <w:tcMar>
              <w:top w:type="dxa" w:w="80"/>
              <w:left w:type="dxa" w:w="60"/>
              <w:bottom w:type="dxa" w:w="80"/>
              <w:right w:type="dxa" w:w="60"/>
            </w:tcMar>
            <w:vAlign w:val="center"/>
          </w:tcPr>
          <w:p>
            <w:pPr>
              <w:jc w:val="center"/>
            </w:pPr>
            <w:r>
              <w:rPr>
                <w:rFonts w:ascii="Arial" w:cs="Arial" w:eastAsia="Arial" w:hAnsi="Arial"/>
                <w:b/>
                <w:bCs/>
                <w:color w:val="FFFFFF"/>
                <w:sz w:val="20"/>
                <w:szCs w:val="20"/>
              </w:rPr>
              <w:t xml:space="preserve">L7</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Mobile &amp; Advanced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Proactive monitoring, scheduled alerts, portfolio health scoring, covenant breach escalation, loan maturity warnings.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1A56DB"/>
                <w:sz w:val="19"/>
                <w:szCs w:val="19"/>
              </w:rPr>
              <w:t xml:space="preserve">3 scheduled/triggered flows</w:t>
            </w:r>
          </w:p>
        </w:tc>
        <w:tc>
          <w:tcPr>
            <w:tcW w:type="dxa" w:w="1000"/>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vAlign w:val="center"/>
          </w:tcPr>
          <w:p>
            <w:pPr>
              <w:jc w:val="center"/>
            </w:pPr>
            <w:r>
              <w:rPr>
                <w:rFonts w:ascii="Arial" w:cs="Arial" w:eastAsia="Arial" w:hAnsi="Arial"/>
                <w:b/>
                <w:bCs/>
                <w:color w:val="14532D"/>
                <w:sz w:val="16"/>
                <w:szCs w:val="16"/>
              </w:rPr>
              <w:t xml:space="preserve">Active</w:t>
            </w:r>
          </w:p>
        </w:tc>
      </w:tr>
      <w:tr>
        <w:tc>
          <w:tcPr>
            <w:tcW w:type="dxa" w:w="600"/>
            <w:tcBorders>
              <w:top w:val="single" w:color="E2E8F0" w:sz="1"/>
              <w:left w:val="single" w:color="E2E8F0" w:sz="1"/>
              <w:bottom w:val="single" w:color="E2E8F0" w:sz="1"/>
              <w:right w:val="single" w:color="E2E8F0" w:sz="1"/>
            </w:tcBorders>
            <w:shd w:fill="0891B2" w:val="clear"/>
            <w:tcMar>
              <w:top w:type="dxa" w:w="80"/>
              <w:left w:type="dxa" w:w="60"/>
              <w:bottom w:type="dxa" w:w="80"/>
              <w:right w:type="dxa" w:w="60"/>
            </w:tcMar>
            <w:vAlign w:val="center"/>
          </w:tcPr>
          <w:p>
            <w:pPr>
              <w:jc w:val="center"/>
            </w:pPr>
            <w:r>
              <w:rPr>
                <w:rFonts w:ascii="Arial" w:cs="Arial" w:eastAsia="Arial" w:hAnsi="Arial"/>
                <w:b/>
                <w:bCs/>
                <w:color w:val="FFFFFF"/>
                <w:sz w:val="20"/>
                <w:szCs w:val="20"/>
              </w:rPr>
              <w:t xml:space="preserve">L6</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Integrations</w:t>
            </w:r>
          </w:p>
        </w:tc>
        <w:tc>
          <w:tcPr>
            <w:tcW w:type="dxa" w:w="4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SMS notifications, document request alerts, credit bureau simulation, regulatory audit logging. Production-ready logic for Orange Money, MTN MoMo, WhatsApp.</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1A56DB"/>
                <w:sz w:val="19"/>
                <w:szCs w:val="19"/>
              </w:rPr>
              <w:t xml:space="preserve">4 integration flows</w:t>
            </w:r>
          </w:p>
        </w:tc>
        <w:tc>
          <w:tcPr>
            <w:tcW w:type="dxa" w:w="1000"/>
            <w:tcBorders>
              <w:top w:val="single" w:color="E2E8F0" w:sz="1"/>
              <w:left w:val="single" w:color="E2E8F0" w:sz="1"/>
              <w:bottom w:val="single" w:color="E2E8F0" w:sz="1"/>
              <w:right w:val="single" w:color="E2E8F0" w:sz="1"/>
            </w:tcBorders>
            <w:shd w:fill="CFFAFE" w:val="clear"/>
            <w:tcMar>
              <w:top w:type="dxa" w:w="60"/>
              <w:left w:type="dxa" w:w="80"/>
              <w:bottom w:type="dxa" w:w="60"/>
              <w:right w:type="dxa" w:w="80"/>
            </w:tcMar>
            <w:vAlign w:val="center"/>
          </w:tcPr>
          <w:p>
            <w:pPr>
              <w:jc w:val="center"/>
            </w:pPr>
            <w:r>
              <w:rPr>
                <w:rFonts w:ascii="Arial" w:cs="Arial" w:eastAsia="Arial" w:hAnsi="Arial"/>
                <w:b/>
                <w:bCs/>
                <w:color w:val="0E7490"/>
                <w:sz w:val="16"/>
                <w:szCs w:val="16"/>
              </w:rPr>
              <w:t xml:space="preserve">Active (Simulated)</w:t>
            </w:r>
          </w:p>
        </w:tc>
      </w:tr>
      <w:tr>
        <w:tc>
          <w:tcPr>
            <w:tcW w:type="dxa" w:w="600"/>
            <w:tcBorders>
              <w:top w:val="single" w:color="E2E8F0" w:sz="1"/>
              <w:left w:val="single" w:color="E2E8F0" w:sz="1"/>
              <w:bottom w:val="single" w:color="E2E8F0" w:sz="1"/>
              <w:right w:val="single" w:color="E2E8F0" w:sz="1"/>
            </w:tcBorders>
            <w:shd w:fill="0284C7" w:val="clear"/>
            <w:tcMar>
              <w:top w:type="dxa" w:w="80"/>
              <w:left w:type="dxa" w:w="60"/>
              <w:bottom w:type="dxa" w:w="80"/>
              <w:right w:type="dxa" w:w="60"/>
            </w:tcMar>
            <w:vAlign w:val="center"/>
          </w:tcPr>
          <w:p>
            <w:pPr>
              <w:jc w:val="center"/>
            </w:pPr>
            <w:r>
              <w:rPr>
                <w:rFonts w:ascii="Arial" w:cs="Arial" w:eastAsia="Arial" w:hAnsi="Arial"/>
                <w:b/>
                <w:bCs/>
                <w:color w:val="FFFFFF"/>
                <w:sz w:val="20"/>
                <w:szCs w:val="20"/>
              </w:rPr>
              <w:t xml:space="preserve">L5</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Experience Cloud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Borrower-facing portal — document upload, loan status check. Full 6-page portal designed. Screen flows built and active.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1A56DB"/>
                <w:sz w:val="19"/>
                <w:szCs w:val="19"/>
              </w:rPr>
              <w:t xml:space="preserve">2 screen flows active</w:t>
            </w:r>
          </w:p>
        </w:tc>
        <w:tc>
          <w:tcPr>
            <w:tcW w:type="dxa" w:w="1000"/>
            <w:tcBorders>
              <w:top w:val="single" w:color="E2E8F0" w:sz="1"/>
              <w:left w:val="single" w:color="E2E8F0" w:sz="1"/>
              <w:bottom w:val="single" w:color="E2E8F0" w:sz="1"/>
              <w:right w:val="single" w:color="E2E8F0" w:sz="1"/>
            </w:tcBorders>
            <w:shd w:fill="FFF8E6" w:val="clear"/>
            <w:tcMar>
              <w:top w:type="dxa" w:w="60"/>
              <w:left w:type="dxa" w:w="80"/>
              <w:bottom w:type="dxa" w:w="60"/>
              <w:right w:type="dxa" w:w="80"/>
            </w:tcMar>
            <w:vAlign w:val="center"/>
          </w:tcPr>
          <w:p>
            <w:pPr>
              <w:jc w:val="center"/>
            </w:pPr>
            <w:r>
              <w:rPr>
                <w:rFonts w:ascii="Arial" w:cs="Arial" w:eastAsia="Arial" w:hAnsi="Arial"/>
                <w:b/>
                <w:bCs/>
                <w:color w:val="C8920A"/>
                <w:sz w:val="16"/>
                <w:szCs w:val="16"/>
              </w:rPr>
              <w:t xml:space="preserve">Partial</w:t>
            </w:r>
          </w:p>
        </w:tc>
      </w:tr>
      <w:tr>
        <w:tc>
          <w:tcPr>
            <w:tcW w:type="dxa" w:w="600"/>
            <w:tcBorders>
              <w:top w:val="single" w:color="E2E8F0" w:sz="1"/>
              <w:left w:val="single" w:color="E2E8F0" w:sz="1"/>
              <w:bottom w:val="single" w:color="E2E8F0" w:sz="1"/>
              <w:right w:val="single" w:color="E2E8F0" w:sz="1"/>
            </w:tcBorders>
            <w:shd w:fill="047857" w:val="clear"/>
            <w:tcMar>
              <w:top w:type="dxa" w:w="80"/>
              <w:left w:type="dxa" w:w="60"/>
              <w:bottom w:type="dxa" w:w="80"/>
              <w:right w:type="dxa" w:w="60"/>
            </w:tcMar>
            <w:vAlign w:val="center"/>
          </w:tcPr>
          <w:p>
            <w:pPr>
              <w:jc w:val="center"/>
            </w:pPr>
            <w:r>
              <w:rPr>
                <w:rFonts w:ascii="Arial" w:cs="Arial" w:eastAsia="Arial" w:hAnsi="Arial"/>
                <w:b/>
                <w:bCs/>
                <w:color w:val="FFFFFF"/>
                <w:sz w:val="20"/>
                <w:szCs w:val="20"/>
              </w:rPr>
              <w:t xml:space="preserve">L4</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Reporting &amp; Analytics</w:t>
            </w:r>
          </w:p>
        </w:tc>
        <w:tc>
          <w:tcPr>
            <w:tcW w:type="dxa" w:w="4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10 reports, 4 dashboards (Portfolio Manager, Credit Officer, Compliance, Regulator), 5 custom report types, 4 list views.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1A56DB"/>
                <w:sz w:val="19"/>
                <w:szCs w:val="19"/>
              </w:rPr>
              <w:t xml:space="preserve">10 reports · 4 dashboards</w:t>
            </w:r>
          </w:p>
        </w:tc>
        <w:tc>
          <w:tcPr>
            <w:tcW w:type="dxa" w:w="1000"/>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vAlign w:val="center"/>
          </w:tcPr>
          <w:p>
            <w:pPr>
              <w:jc w:val="center"/>
            </w:pPr>
            <w:r>
              <w:rPr>
                <w:rFonts w:ascii="Arial" w:cs="Arial" w:eastAsia="Arial" w:hAnsi="Arial"/>
                <w:b/>
                <w:bCs/>
                <w:color w:val="14532D"/>
                <w:sz w:val="16"/>
                <w:szCs w:val="16"/>
              </w:rPr>
              <w:t xml:space="preserve">Active</w:t>
            </w:r>
          </w:p>
        </w:tc>
      </w:tr>
      <w:tr>
        <w:tc>
          <w:tcPr>
            <w:tcW w:type="dxa" w:w="600"/>
            <w:tcBorders>
              <w:top w:val="single" w:color="E2E8F0" w:sz="1"/>
              <w:left w:val="single" w:color="E2E8F0" w:sz="1"/>
              <w:bottom w:val="single" w:color="E2E8F0" w:sz="1"/>
              <w:right w:val="single" w:color="E2E8F0" w:sz="1"/>
            </w:tcBorders>
            <w:shd w:fill="C8920A" w:val="clear"/>
            <w:tcMar>
              <w:top w:type="dxa" w:w="80"/>
              <w:left w:type="dxa" w:w="60"/>
              <w:bottom w:type="dxa" w:w="80"/>
              <w:right w:type="dxa" w:w="60"/>
            </w:tcMar>
            <w:vAlign w:val="center"/>
          </w:tcPr>
          <w:p>
            <w:pPr>
              <w:jc w:val="center"/>
            </w:pPr>
            <w:r>
              <w:rPr>
                <w:rFonts w:ascii="Arial" w:cs="Arial" w:eastAsia="Arial" w:hAnsi="Arial"/>
                <w:b/>
                <w:bCs/>
                <w:color w:val="FFFFFF"/>
                <w:sz w:val="20"/>
                <w:szCs w:val="20"/>
              </w:rPr>
              <w:t xml:space="preserve">L3</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Credit Governance</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Exposure limits, document checklist gates, covenant monitoring, audit logging, credit exceptions, validation rules.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1A56DB"/>
                <w:sz w:val="19"/>
                <w:szCs w:val="19"/>
              </w:rPr>
              <w:t xml:space="preserve">8 validation rules · audit logs</w:t>
            </w:r>
          </w:p>
        </w:tc>
        <w:tc>
          <w:tcPr>
            <w:tcW w:type="dxa" w:w="1000"/>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vAlign w:val="center"/>
          </w:tcPr>
          <w:p>
            <w:pPr>
              <w:jc w:val="center"/>
            </w:pPr>
            <w:r>
              <w:rPr>
                <w:rFonts w:ascii="Arial" w:cs="Arial" w:eastAsia="Arial" w:hAnsi="Arial"/>
                <w:b/>
                <w:bCs/>
                <w:color w:val="14532D"/>
                <w:sz w:val="16"/>
                <w:szCs w:val="16"/>
              </w:rPr>
              <w:t xml:space="preserve">Active</w:t>
            </w:r>
          </w:p>
        </w:tc>
      </w:tr>
      <w:tr>
        <w:tc>
          <w:tcPr>
            <w:tcW w:type="dxa" w:w="600"/>
            <w:tcBorders>
              <w:top w:val="single" w:color="E2E8F0" w:sz="1"/>
              <w:left w:val="single" w:color="E2E8F0" w:sz="1"/>
              <w:bottom w:val="single" w:color="E2E8F0" w:sz="1"/>
              <w:right w:val="single" w:color="E2E8F0" w:sz="1"/>
            </w:tcBorders>
            <w:shd w:fill="1A56DB" w:val="clear"/>
            <w:tcMar>
              <w:top w:type="dxa" w:w="80"/>
              <w:left w:type="dxa" w:w="60"/>
              <w:bottom w:type="dxa" w:w="80"/>
              <w:right w:type="dxa" w:w="60"/>
            </w:tcMar>
            <w:vAlign w:val="center"/>
          </w:tcPr>
          <w:p>
            <w:pPr>
              <w:jc w:val="center"/>
            </w:pPr>
            <w:r>
              <w:rPr>
                <w:rFonts w:ascii="Arial" w:cs="Arial" w:eastAsia="Arial" w:hAnsi="Arial"/>
                <w:b/>
                <w:bCs/>
                <w:color w:val="FFFFFF"/>
                <w:sz w:val="20"/>
                <w:szCs w:val="20"/>
              </w:rPr>
              <w:t xml:space="preserve">L2</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Decision &amp; Automation</w:t>
            </w:r>
          </w:p>
        </w:tc>
        <w:tc>
          <w:tcPr>
            <w:tcW w:type="dxa" w:w="4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27+ flows, risk score formula, 3-level approval processes, task creation, email alerts, currency cascade.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1A56DB"/>
                <w:sz w:val="19"/>
                <w:szCs w:val="19"/>
              </w:rPr>
              <w:t xml:space="preserve">27+ flows · Risk Score</w:t>
            </w:r>
          </w:p>
        </w:tc>
        <w:tc>
          <w:tcPr>
            <w:tcW w:type="dxa" w:w="1000"/>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vAlign w:val="center"/>
          </w:tcPr>
          <w:p>
            <w:pPr>
              <w:jc w:val="center"/>
            </w:pPr>
            <w:r>
              <w:rPr>
                <w:rFonts w:ascii="Arial" w:cs="Arial" w:eastAsia="Arial" w:hAnsi="Arial"/>
                <w:b/>
                <w:bCs/>
                <w:color w:val="14532D"/>
                <w:sz w:val="16"/>
                <w:szCs w:val="16"/>
              </w:rPr>
              <w:t xml:space="preserve">Active</w:t>
            </w:r>
          </w:p>
        </w:tc>
      </w:tr>
      <w:tr>
        <w:tc>
          <w:tcPr>
            <w:tcW w:type="dxa" w:w="600"/>
            <w:tcBorders>
              <w:top w:val="single" w:color="E2E8F0" w:sz="1"/>
              <w:left w:val="single" w:color="E2E8F0" w:sz="1"/>
              <w:bottom w:val="single" w:color="E2E8F0" w:sz="1"/>
              <w:right w:val="single" w:color="E2E8F0" w:sz="1"/>
            </w:tcBorders>
            <w:shd w:fill="1A3A6C" w:val="clear"/>
            <w:tcMar>
              <w:top w:type="dxa" w:w="80"/>
              <w:left w:type="dxa" w:w="60"/>
              <w:bottom w:type="dxa" w:w="80"/>
              <w:right w:type="dxa" w:w="60"/>
            </w:tcMar>
            <w:vAlign w:val="center"/>
          </w:tcPr>
          <w:p>
            <w:pPr>
              <w:jc w:val="center"/>
            </w:pPr>
            <w:r>
              <w:rPr>
                <w:rFonts w:ascii="Arial" w:cs="Arial" w:eastAsia="Arial" w:hAnsi="Arial"/>
                <w:b/>
                <w:bCs/>
                <w:color w:val="FFFFFF"/>
                <w:sz w:val="20"/>
                <w:szCs w:val="20"/>
              </w:rPr>
              <w:t xml:space="preserve">L1</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Data Foundation</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12 objects, 180+ fields, 17 roles, 13 permission sets, 16 PSGs, 10 currencies, 5 active users.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1A56DB"/>
                <w:sz w:val="19"/>
                <w:szCs w:val="19"/>
              </w:rPr>
              <w:t xml:space="preserve">12 objects · 17 roles</w:t>
            </w:r>
          </w:p>
        </w:tc>
        <w:tc>
          <w:tcPr>
            <w:tcW w:type="dxa" w:w="1000"/>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vAlign w:val="center"/>
          </w:tcPr>
          <w:p>
            <w:pPr>
              <w:jc w:val="center"/>
            </w:pPr>
            <w:r>
              <w:rPr>
                <w:rFonts w:ascii="Arial" w:cs="Arial" w:eastAsia="Arial" w:hAnsi="Arial"/>
                <w:b/>
                <w:bCs/>
                <w:color w:val="14532D"/>
                <w:sz w:val="16"/>
                <w:szCs w:val="16"/>
              </w:rPr>
              <w:t xml:space="preserve">Active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532D" w:val="clear"/>
            <w:tcMar>
              <w:top w:type="dxa" w:w="160"/>
              <w:left w:type="dxa" w:w="260"/>
              <w:bottom w:type="dxa" w:w="160"/>
              <w:right w:type="dxa" w:w="260"/>
            </w:tcMar>
          </w:tcPr>
          <w:p>
            <w:pPr>
              <w:spacing w:after="40" w:before="0"/>
            </w:pPr>
            <w:r>
              <w:rPr>
                <w:rFonts w:ascii="Arial" w:cs="Arial" w:eastAsia="Arial" w:hAnsi="Arial"/>
                <w:b/>
                <w:bCs/>
                <w:color w:val="FFFFFF"/>
                <w:sz w:val="30"/>
                <w:szCs w:val="30"/>
              </w:rPr>
              <w:t xml:space="preserve">SECTION 3 — OBJECT INVENTORY</w:t>
            </w:r>
          </w:p>
          <w:p>
            <w:pPr>
              <w:spacing w:after="0" w:before="0"/>
            </w:pPr>
            <w:r>
              <w:rPr>
                <w:rFonts w:ascii="Arial" w:cs="Arial" w:eastAsia="Arial" w:hAnsi="Arial"/>
                <w:color w:val="CCCCCC"/>
                <w:sz w:val="18"/>
                <w:szCs w:val="18"/>
              </w:rPr>
              <w:t xml:space="preserve">12 Objects — purpose, field count, and relationships</w:t>
            </w:r>
          </w:p>
        </w:tc>
      </w:tr>
    </w:tbl>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4060"/>
        <w:gridCol w:w="500"/>
        <w:gridCol w:w="2500"/>
      </w:tblGrid>
      <w:tr>
        <w:tc>
          <w:tcPr>
            <w:tcW w:type="dxa" w:w="16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Object</w:t>
            </w:r>
          </w:p>
        </w:tc>
        <w:tc>
          <w:tcPr>
            <w:tcW w:type="dxa" w:w="7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Type</w:t>
            </w:r>
          </w:p>
        </w:tc>
        <w:tc>
          <w:tcPr>
            <w:tcW w:type="dxa" w:w="40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Purpose</w:t>
            </w:r>
          </w:p>
        </w:tc>
        <w:tc>
          <w:tcPr>
            <w:tcW w:type="dxa" w:w="5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FFFFFF"/>
                <w:sz w:val="19"/>
                <w:szCs w:val="19"/>
              </w:rPr>
              <w:t xml:space="preserve">Fields</w:t>
            </w:r>
          </w:p>
        </w:tc>
        <w:tc>
          <w:tcPr>
            <w:tcW w:type="dxa" w:w="25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Key Relationship</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Account</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Standard</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Borrower master record. Stores KYC status, risk level, sector, customer type, group lending info, alternative credit scoring inputs, exposure tracking, and currency. All other objects link back here.</w:t>
            </w:r>
          </w:p>
        </w:tc>
        <w:tc>
          <w:tcPr>
            <w:tcW w:type="dxa" w:w="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64</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Hub — parent of all lending objects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Opportunity (Loan Request)</w:t>
            </w:r>
          </w:p>
        </w:tc>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Standard</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Tracks the loan request from first contact (Prospecting) through 8 lending-specific stages to Approved. When Approved, automatically triggers Financing Package creation.</w:t>
            </w:r>
          </w:p>
        </w:tc>
        <w:tc>
          <w:tcPr>
            <w:tcW w:type="dxa" w:w="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28</w:t>
            </w:r>
          </w:p>
        </w:tc>
        <w:tc>
          <w:tcPr>
            <w:tcW w:type="dxa" w:w="2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Lookup from Financing Package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Financing Package</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Custom</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The central deal object. Links borrower, loan request, credit facilities, documents, memo, collateral, and covenants. Contains the 5-dimension Risk Score formula and drives approval routing.</w:t>
            </w:r>
          </w:p>
        </w:tc>
        <w:tc>
          <w:tcPr>
            <w:tcW w:type="dxa" w:w="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19</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Lookup to Account + Opportunity</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Credit Facility</w:t>
            </w:r>
          </w:p>
        </w:tc>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Custom</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Defines the specific loan product — type, amount, interest rate (34-value dependent picklist filtered by Loan Type), repayment schedule, maturity, outstanding balance.</w:t>
            </w:r>
          </w:p>
        </w:tc>
        <w:tc>
          <w:tcPr>
            <w:tcW w:type="dxa" w:w="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15</w:t>
            </w:r>
          </w:p>
        </w:tc>
        <w:tc>
          <w:tcPr>
            <w:tcW w:type="dxa" w:w="2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Master-Detail to Financing Package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Borrowing Structure</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Custom</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Manages multi-party lending — maps Primary Borrower, Co-Borrower, Guarantor, and Sponsor roles to a single deal.</w:t>
            </w:r>
          </w:p>
        </w:tc>
        <w:tc>
          <w:tcPr>
            <w:tcW w:type="dxa" w:w="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11</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Master-Detail to Financing Package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Collateral</w:t>
            </w:r>
          </w:p>
        </w:tc>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Custom</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Records security pledged against a loan. Calculates LTV% automatically. Tracks lien position, valuation, and status.</w:t>
            </w:r>
          </w:p>
        </w:tc>
        <w:tc>
          <w:tcPr>
            <w:tcW w:type="dxa" w:w="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16</w:t>
            </w:r>
          </w:p>
        </w:tc>
        <w:tc>
          <w:tcPr>
            <w:tcW w:type="dxa" w:w="2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Lookup to FP / Credit Facility</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Covenant</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Custom</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Ongoing compliance conditions on a loan. Real-time breach detection fires on every save. Scheduled daily monitoring. Breach date required when status = Breached.</w:t>
            </w:r>
          </w:p>
        </w:tc>
        <w:tc>
          <w:tcPr>
            <w:tcW w:type="dxa" w:w="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15</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Master-Detail to Credit Facility</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Loan Document</w:t>
            </w:r>
          </w:p>
        </w:tc>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Custom</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Document checklist and tracking. 38 document types, field dependency on Loan Type. Doc Checklist Gate blocks stage advancement until Required docs are Approved.</w:t>
            </w:r>
          </w:p>
        </w:tc>
        <w:tc>
          <w:tcPr>
            <w:tcW w:type="dxa" w:w="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18</w:t>
            </w:r>
          </w:p>
        </w:tc>
        <w:tc>
          <w:tcPr>
            <w:tcW w:type="dxa" w:w="2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Master-Detail to Financing Package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Credit Memo</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Custom</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Formal credit write-up with 7 narrative sections. Submitted through 3-level approval process. Locked after submission.</w:t>
            </w:r>
          </w:p>
        </w:tc>
        <w:tc>
          <w:tcPr>
            <w:tcW w:type="dxa" w:w="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14</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Master-Detail to Financing Package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Credit Exception</w:t>
            </w:r>
          </w:p>
        </w:tc>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Custom</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Policy override governance. Every exception requires written justification, formal approval, and is permanently logged. Supports 5 exception types.</w:t>
            </w:r>
          </w:p>
        </w:tc>
        <w:tc>
          <w:tcPr>
            <w:tcW w:type="dxa" w:w="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14</w:t>
            </w:r>
          </w:p>
        </w:tc>
        <w:tc>
          <w:tcPr>
            <w:tcW w:type="dxa" w:w="2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Lookup to FP + Account</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Credit Committee Meeting</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Custom</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Formal committee voting record. Tracks vote counts, quorum, and calculates Approval Percentage automatically.</w:t>
            </w:r>
          </w:p>
        </w:tc>
        <w:tc>
          <w:tcPr>
            <w:tcW w:type="dxa" w:w="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13</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Lookup to Financing Package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Audit Log</w:t>
            </w:r>
          </w:p>
        </w:tc>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Custom</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Immutable change log. Records every stage change, covenant breach, exception, and document status change — who, what, when, old value, new value.</w:t>
            </w:r>
          </w:p>
        </w:tc>
        <w:tc>
          <w:tcPr>
            <w:tcW w:type="dxa" w:w="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13</w:t>
            </w:r>
          </w:p>
        </w:tc>
        <w:tc>
          <w:tcPr>
            <w:tcW w:type="dxa" w:w="2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Lookup to Financing Package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60"/>
              <w:left w:type="dxa" w:w="260"/>
              <w:bottom w:type="dxa" w:w="160"/>
              <w:right w:type="dxa" w:w="260"/>
            </w:tcMar>
          </w:tcPr>
          <w:p>
            <w:pPr>
              <w:spacing w:after="40" w:before="0"/>
            </w:pPr>
            <w:r>
              <w:rPr>
                <w:rFonts w:ascii="Arial" w:cs="Arial" w:eastAsia="Arial" w:hAnsi="Arial"/>
                <w:b/>
                <w:bCs/>
                <w:color w:val="FFFFFF"/>
                <w:sz w:val="30"/>
                <w:szCs w:val="30"/>
              </w:rPr>
              <w:t xml:space="preserve">SECTION 4 — COMPLETE FLOW INVENTORY</w:t>
            </w:r>
          </w:p>
          <w:p>
            <w:pPr>
              <w:spacing w:after="0" w:before="0"/>
            </w:pPr>
            <w:r>
              <w:rPr>
                <w:rFonts w:ascii="Arial" w:cs="Arial" w:eastAsia="Arial" w:hAnsi="Arial"/>
                <w:color w:val="CCCCCC"/>
                <w:sz w:val="18"/>
                <w:szCs w:val="18"/>
              </w:rPr>
              <w:t xml:space="preserve">27+ Flows — what each does, what triggers it, and why it exists</w:t>
            </w:r>
          </w:p>
        </w:tc>
      </w:tr>
    </w:tbl>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2"/>
              <w:left w:val="single" w:color="991B1B" w:sz="2"/>
              <w:bottom w:val="single" w:color="991B1B" w:sz="1"/>
              <w:right w:val="single" w:color="991B1B" w:sz="1"/>
            </w:tcBorders>
            <w:shd w:fill="FEE2E2" w:val="clear"/>
            <w:tcMar>
              <w:top w:type="dxa" w:w="80"/>
              <w:left w:type="dxa" w:w="160"/>
              <w:bottom w:type="dxa" w:w="80"/>
              <w:right w:type="dxa" w:w="160"/>
            </w:tcMar>
          </w:tcPr>
          <w:p>
            <w:pPr>
              <w:spacing w:after="0" w:before="0"/>
              <w:jc w:val="left"/>
            </w:pPr>
            <w:r>
              <w:rPr>
                <w:rFonts w:ascii="Arial" w:cs="Arial" w:eastAsia="Arial" w:hAnsi="Arial"/>
                <w:b/>
                <w:bCs/>
                <w:i w:val="false"/>
                <w:iCs w:val="false"/>
                <w:color w:val="991B1B"/>
                <w:sz w:val="18"/>
                <w:szCs w:val="18"/>
              </w:rPr>
              <w:t xml:space="preserve">Stage Gate Flows (3) — Block invalid stage transitions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160"/>
        <w:gridCol w:w="3200"/>
      </w:tblGrid>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Block Underwriting Without Credit Facility V2</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Financing Package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Record Updated — Stage = Underwriting</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Checks if a Credit Facility is linked. If not, shows bilingual error on Stage field. Banker cannot advance without creating a facility first.</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Block Credit Review Without Credit Memo V2</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Financing Package</w:t>
            </w:r>
          </w:p>
        </w:tc>
        <w:tc>
          <w:tcPr>
            <w:tcW w:type="dxa" w:w="2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Record Updated — Stage = Credit Review</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Checks if a Credit Memo is linked. If not, shows bilingual error. Forces credit analysis to be completed before review.</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Doc Checklist Gate V1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Financing Package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Before Save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Checks all Required Loan Documents. If any Required document is not Approved, blocks Stage = Underwriting or Approved.</w:t>
            </w:r>
          </w:p>
        </w:tc>
      </w:tr>
    </w:tbl>
    <w:p>
      <w:pPr>
        <w:spacing w:after="3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2"/>
              <w:left w:val="single" w:color="14532D" w:sz="2"/>
              <w:bottom w:val="single" w:color="14532D" w:sz="1"/>
              <w:right w:val="single" w:color="14532D" w:sz="1"/>
            </w:tcBorders>
            <w:shd w:fill="DCFCE7" w:val="clear"/>
            <w:tcMar>
              <w:top w:type="dxa" w:w="80"/>
              <w:left w:type="dxa" w:w="160"/>
              <w:bottom w:type="dxa" w:w="80"/>
              <w:right w:type="dxa" w:w="160"/>
            </w:tcMar>
          </w:tcPr>
          <w:p>
            <w:pPr>
              <w:spacing w:after="0" w:before="0"/>
              <w:jc w:val="left"/>
            </w:pPr>
            <w:r>
              <w:rPr>
                <w:rFonts w:ascii="Arial" w:cs="Arial" w:eastAsia="Arial" w:hAnsi="Arial"/>
                <w:b/>
                <w:bCs/>
                <w:i w:val="false"/>
                <w:iCs w:val="false"/>
                <w:color w:val="14532D"/>
                <w:sz w:val="18"/>
                <w:szCs w:val="18"/>
              </w:rPr>
              <w:t xml:space="preserve">Task Creation Flows (3) — Auto-create work assignments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160"/>
        <w:gridCol w:w="3200"/>
      </w:tblGrid>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Create Underwriting Tasks V2</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Financing Package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Record Updated — Stage = Underwriting</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Creates 3 priority tasks: Credit Facility Setup (3 days), Financial Analysis (5 days), Underwriting Report (7 days). Sends email alert to owner.</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Create Credit Review Tasks V2</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Financing Package</w:t>
            </w:r>
          </w:p>
        </w:tc>
        <w:tc>
          <w:tcPr>
            <w:tcW w:type="dxa" w:w="2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Record Updated — Stage = Credit Review</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Creates 2 priority tasks: Credit Review (3 days), Risk Assessment (5 days). Sends email alert to owner.</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Create Approval Tasks V1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Financing Package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Record Updated — Stage = Approved</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Creates 2 post-approval tasks: Prepare Loan Offer Letter (3 days), Complete Documentation and Booking (7 days).</w:t>
            </w:r>
          </w:p>
        </w:tc>
      </w:tr>
    </w:tbl>
    <w:p>
      <w:pPr>
        <w:spacing w:after="3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2"/>
              <w:left w:val="single" w:color="0E7490" w:sz="2"/>
              <w:bottom w:val="single" w:color="0E7490" w:sz="1"/>
              <w:right w:val="single" w:color="0E7490" w:sz="1"/>
            </w:tcBorders>
            <w:shd w:fill="CFFAFE" w:val="clear"/>
            <w:tcMar>
              <w:top w:type="dxa" w:w="80"/>
              <w:left w:type="dxa" w:w="160"/>
              <w:bottom w:type="dxa" w:w="80"/>
              <w:right w:type="dxa" w:w="160"/>
            </w:tcMar>
          </w:tcPr>
          <w:p>
            <w:pPr>
              <w:spacing w:after="0" w:before="0"/>
              <w:jc w:val="left"/>
            </w:pPr>
            <w:r>
              <w:rPr>
                <w:rFonts w:ascii="Arial" w:cs="Arial" w:eastAsia="Arial" w:hAnsi="Arial"/>
                <w:b/>
                <w:bCs/>
                <w:i w:val="false"/>
                <w:iCs w:val="false"/>
                <w:color w:val="0E7490"/>
                <w:sz w:val="18"/>
                <w:szCs w:val="18"/>
              </w:rPr>
              <w:t xml:space="preserve">Currency Cascade Flows (5) — Auto-set currency across all objects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160"/>
        <w:gridCol w:w="3200"/>
      </w:tblGrid>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Set Account Currency from Primary Market V1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Account</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Created or Updated — Primary Market not null</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CASE formula maps each of 11 countries to the correct ISO currency code. Zero manual selection needed.</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Set Opportunity Currency from Account V1</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Opportunity</w:t>
            </w:r>
          </w:p>
        </w:tc>
        <w:tc>
          <w:tcPr>
            <w:tcW w:type="dxa" w:w="2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Record Created — Account ID not null</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Gets linked Account CurrencyIsoCode and copies it to the Opportunity. Ensures currency consistency from Account downward.</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Create Financing Package from Approved Opportunity V1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Opportunity</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Record Updated — Stage = Approved</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Auto-creates Financing Package with Account, Opportunity, Total Amount, Stage=Draft, Status=Active, Owner, and Currency copied from Opportunity.</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Set Credit Facility Currency from Financing Package V1</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Credit Facility</w:t>
            </w:r>
          </w:p>
        </w:tc>
        <w:tc>
          <w:tcPr>
            <w:tcW w:type="dxa" w:w="2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Record Created — Financing Package not null</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Gets Financing Package CurrencyIsoCode and copies to Credit Facility on creation.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Set Collateral Currency from Financing Package V1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Collateral</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Record Created — Financing Package not null</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Gets Financing Package CurrencyIsoCode and copies to Collateral on creation.</w:t>
            </w:r>
          </w:p>
        </w:tc>
      </w:tr>
    </w:tbl>
    <w:p>
      <w:pPr>
        <w:spacing w:after="3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0A" w:sz="2"/>
              <w:left w:val="single" w:color="C8920A" w:sz="2"/>
              <w:bottom w:val="single" w:color="C8920A" w:sz="1"/>
              <w:right w:val="single" w:color="C8920A" w:sz="1"/>
            </w:tcBorders>
            <w:shd w:fill="FFF8E6" w:val="clear"/>
            <w:tcMar>
              <w:top w:type="dxa" w:w="80"/>
              <w:left w:type="dxa" w:w="160"/>
              <w:bottom w:type="dxa" w:w="80"/>
              <w:right w:type="dxa" w:w="160"/>
            </w:tcMar>
          </w:tcPr>
          <w:p>
            <w:pPr>
              <w:spacing w:after="0" w:before="0"/>
              <w:jc w:val="left"/>
            </w:pPr>
            <w:r>
              <w:rPr>
                <w:rFonts w:ascii="Arial" w:cs="Arial" w:eastAsia="Arial" w:hAnsi="Arial"/>
                <w:b/>
                <w:bCs/>
                <w:i w:val="false"/>
                <w:iCs w:val="false"/>
                <w:color w:val="C8920A"/>
                <w:sz w:val="18"/>
                <w:szCs w:val="18"/>
              </w:rPr>
              <w:t xml:space="preserve">Exposure &amp; Governance Flows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160"/>
        <w:gridCol w:w="3200"/>
      </w:tblGrid>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Exposure Rollup to Account V2</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Financing Package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Created or Updated</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Sums Total Amount from all active Financing Packages for this Account. Updates Total Current Exposure on Account in real time.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Exposure Rollup on Package Delete V1</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Financing Package</w:t>
            </w:r>
          </w:p>
        </w:tc>
        <w:tc>
          <w:tcPr>
            <w:tcW w:type="dxa" w:w="2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Before Delete</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Recalculates exposure rollup when a Financing Package is deleted to keep Total Current Exposure accurate.</w:t>
            </w:r>
          </w:p>
        </w:tc>
      </w:tr>
    </w:tbl>
    <w:p>
      <w:pPr>
        <w:spacing w:after="3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2"/>
              <w:left w:val="single" w:color="5B2D8E" w:sz="2"/>
              <w:bottom w:val="single" w:color="5B2D8E" w:sz="1"/>
              <w:right w:val="single" w:color="5B2D8E" w:sz="1"/>
            </w:tcBorders>
            <w:shd w:fill="EDE4F8" w:val="clear"/>
            <w:tcMar>
              <w:top w:type="dxa" w:w="80"/>
              <w:left w:type="dxa" w:w="160"/>
              <w:bottom w:type="dxa" w:w="80"/>
              <w:right w:type="dxa" w:w="160"/>
            </w:tcMar>
          </w:tcPr>
          <w:p>
            <w:pPr>
              <w:spacing w:after="0" w:before="0"/>
              <w:jc w:val="left"/>
            </w:pPr>
            <w:r>
              <w:rPr>
                <w:rFonts w:ascii="Arial" w:cs="Arial" w:eastAsia="Arial" w:hAnsi="Arial"/>
                <w:b/>
                <w:bCs/>
                <w:i w:val="false"/>
                <w:iCs w:val="false"/>
                <w:color w:val="5B2D8E"/>
                <w:sz w:val="18"/>
                <w:szCs w:val="18"/>
              </w:rPr>
              <w:t xml:space="preserve">Covenant &amp; Alert Flows (4)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160"/>
        <w:gridCol w:w="3200"/>
      </w:tblGrid>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Covenant Real Time Breach Check V1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Covenant</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Before Save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Compares Actual Value to Threshold. Automatically sets Status = Breached or Compliant on every save. No manual status update needed.</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Covenant Breach Monitor V1</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Covenant</w:t>
            </w:r>
          </w:p>
        </w:tc>
        <w:tc>
          <w:tcPr>
            <w:tcW w:type="dxa" w:w="2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Scheduled — Daily 2AM</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Scans all Covenants. Stamps Breach Date when status is Breached. Ensures breach dates are always recorded.</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Overdue Covenant Alert V1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Covenant</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Scheduled — Daily 6AM</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Sends email alert to deal owner when Next Review Date is past due.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Expiring Document Alert V1</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Loan Document</w:t>
            </w:r>
          </w:p>
        </w:tc>
        <w:tc>
          <w:tcPr>
            <w:tcW w:type="dxa" w:w="2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Scheduled — Daily 6AM</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Sends alert to Financing Package owner when document Expiration Date is within 30 days.</w:t>
            </w:r>
          </w:p>
        </w:tc>
      </w:tr>
    </w:tbl>
    <w:p>
      <w:pPr>
        <w:spacing w:after="3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2"/>
              <w:left w:val="single" w:color="334155" w:sz="2"/>
              <w:bottom w:val="single" w:color="334155" w:sz="1"/>
              <w:right w:val="single" w:color="334155" w:sz="1"/>
            </w:tcBorders>
            <w:shd w:fill="F8FAFC" w:val="clear"/>
            <w:tcMar>
              <w:top w:type="dxa" w:w="80"/>
              <w:left w:type="dxa" w:w="160"/>
              <w:bottom w:type="dxa" w:w="80"/>
              <w:right w:type="dxa" w:w="160"/>
            </w:tcMar>
          </w:tcPr>
          <w:p>
            <w:pPr>
              <w:spacing w:after="0" w:before="0"/>
              <w:jc w:val="left"/>
            </w:pPr>
            <w:r>
              <w:rPr>
                <w:rFonts w:ascii="Arial" w:cs="Arial" w:eastAsia="Arial" w:hAnsi="Arial"/>
                <w:b/>
                <w:bCs/>
                <w:i w:val="false"/>
                <w:iCs w:val="false"/>
                <w:color w:val="334155"/>
                <w:sz w:val="18"/>
                <w:szCs w:val="18"/>
              </w:rPr>
              <w:t xml:space="preserve">Audit Log Flows (5) — Immutable change tracking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160"/>
        <w:gridCol w:w="3200"/>
      </w:tblGrid>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Audit Log Stage Change Flow V1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Financing Package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Record Updated — Stage changed</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Creates Audit Log record on every FP Stage change. Records old value, new value, user, timestamp.</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Audit Log Exception Status Change V1</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Credit Exception</w:t>
            </w:r>
          </w:p>
        </w:tc>
        <w:tc>
          <w:tcPr>
            <w:tcW w:type="dxa" w:w="2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Record Updated</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Creates Audit Log when Credit Exception status changes.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Audit Log Covenant Status Change V1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Covenant</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Record Updated</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Creates Audit Log when Covenant Status changes — including breach and resolution events.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Audit Log Document Status Change V1</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Loan Document</w:t>
            </w:r>
          </w:p>
        </w:tc>
        <w:tc>
          <w:tcPr>
            <w:tcW w:type="dxa" w:w="2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Record Updated</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Creates Audit Log when Loan Document status changes.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Regulatory Audit Log Flow V1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Financing Package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Record Updated</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Creates regulatory audit entry for BCEAO/CEMAC central bank compliance reporting.</w:t>
            </w:r>
          </w:p>
        </w:tc>
      </w:tr>
    </w:tbl>
    <w:p>
      <w:pPr>
        <w:spacing w:after="3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2"/>
              <w:left w:val="single" w:color="1A56DB" w:sz="2"/>
              <w:bottom w:val="single" w:color="1A56DB" w:sz="1"/>
              <w:right w:val="single" w:color="1A56DB" w:sz="1"/>
            </w:tcBorders>
            <w:shd w:fill="EBF2FF" w:val="clear"/>
            <w:tcMar>
              <w:top w:type="dxa" w:w="80"/>
              <w:left w:type="dxa" w:w="160"/>
              <w:bottom w:type="dxa" w:w="80"/>
              <w:right w:type="dxa" w:w="160"/>
            </w:tcMar>
          </w:tcPr>
          <w:p>
            <w:pPr>
              <w:spacing w:after="0" w:before="0"/>
              <w:jc w:val="left"/>
            </w:pPr>
            <w:r>
              <w:rPr>
                <w:rFonts w:ascii="Arial" w:cs="Arial" w:eastAsia="Arial" w:hAnsi="Arial"/>
                <w:b/>
                <w:bCs/>
                <w:i w:val="false"/>
                <w:iCs w:val="false"/>
                <w:color w:val="1A56DB"/>
                <w:sz w:val="18"/>
                <w:szCs w:val="18"/>
              </w:rPr>
              <w:t xml:space="preserve">Integration &amp; Notification Flows (4)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160"/>
        <w:gridCol w:w="3200"/>
      </w:tblGrid>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SMS Approval Notification Flow V1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Financing Package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Record Updated — Stage = Approved</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Sends loan approval SMS notification. Production-ready — connects to SMS provider when deployed.</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Document Request Notification Flow</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Loan Document</w:t>
            </w:r>
          </w:p>
        </w:tc>
        <w:tc>
          <w:tcPr>
            <w:tcW w:type="dxa" w:w="2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Record Created/Updated — Status = Required</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Notifies borrower that a document is required. Production-ready for WhatsApp/SMS connection.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Credit Bureau Risk Profile Update V1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Financing Package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Record Updated — Stage = Credit Review</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Simulates credit bureau data pull. Updates Account Risk Level and KYC Status to reflect bureau findings.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Committee Deal Stamp Flow V1</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Credit Committee Meeting</w:t>
            </w:r>
          </w:p>
        </w:tc>
        <w:tc>
          <w:tcPr>
            <w:tcW w:type="dxa" w:w="2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Record Updated — Resolution set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Stamps linked Financing Package with committee resolution when vote is finalized.</w:t>
            </w:r>
          </w:p>
        </w:tc>
      </w:tr>
    </w:tbl>
    <w:p>
      <w:pPr>
        <w:spacing w:after="3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2"/>
              <w:left w:val="single" w:color="14532D" w:sz="2"/>
              <w:bottom w:val="single" w:color="14532D" w:sz="1"/>
              <w:right w:val="single" w:color="14532D" w:sz="1"/>
            </w:tcBorders>
            <w:shd w:fill="DCFCE7" w:val="clear"/>
            <w:tcMar>
              <w:top w:type="dxa" w:w="80"/>
              <w:left w:type="dxa" w:w="160"/>
              <w:bottom w:type="dxa" w:w="80"/>
              <w:right w:type="dxa" w:w="160"/>
            </w:tcMar>
          </w:tcPr>
          <w:p>
            <w:pPr>
              <w:spacing w:after="0" w:before="0"/>
              <w:jc w:val="left"/>
            </w:pPr>
            <w:r>
              <w:rPr>
                <w:rFonts w:ascii="Arial" w:cs="Arial" w:eastAsia="Arial" w:hAnsi="Arial"/>
                <w:b/>
                <w:bCs/>
                <w:i w:val="false"/>
                <w:iCs w:val="false"/>
                <w:color w:val="14532D"/>
                <w:sz w:val="18"/>
                <w:szCs w:val="18"/>
              </w:rPr>
              <w:t xml:space="preserve">Advanced Monitoring Flows (3) — Layer 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160"/>
        <w:gridCol w:w="3200"/>
      </w:tblGrid>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Covenant Breach Alert Flow</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Covenant</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Record Triggered — Status = Breached</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Sends immediate escalation alert when a covenant breach is detected. Notifies credit officer and portfolio manager.</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Loan Maturity Warning Flow</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Credit Facility</w:t>
            </w:r>
          </w:p>
        </w:tc>
        <w:tc>
          <w:tcPr>
            <w:tcW w:type="dxa" w:w="2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Scheduled — Daily 6AM</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Scans all active Credit Facilities. Sends warning when Maturity Date is within 30 days.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Portfolio Health Score Flow</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Financing Package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Scheduled — Weekly Monday 7AM</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Generates portfolio health summary. Flags deals with breached covenants, expiring documents, or overdue reviews.</w:t>
            </w:r>
          </w:p>
        </w:tc>
      </w:tr>
    </w:tbl>
    <w:p>
      <w:pPr>
        <w:spacing w:after="3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0A" w:sz="2"/>
              <w:left w:val="single" w:color="C8920A" w:sz="2"/>
              <w:bottom w:val="single" w:color="C8920A" w:sz="1"/>
              <w:right w:val="single" w:color="C8920A" w:sz="1"/>
            </w:tcBorders>
            <w:shd w:fill="FFF8E6" w:val="clear"/>
            <w:tcMar>
              <w:top w:type="dxa" w:w="80"/>
              <w:left w:type="dxa" w:w="160"/>
              <w:bottom w:type="dxa" w:w="80"/>
              <w:right w:type="dxa" w:w="160"/>
            </w:tcMar>
          </w:tcPr>
          <w:p>
            <w:pPr>
              <w:spacing w:after="0" w:before="0"/>
              <w:jc w:val="left"/>
            </w:pPr>
            <w:r>
              <w:rPr>
                <w:rFonts w:ascii="Arial" w:cs="Arial" w:eastAsia="Arial" w:hAnsi="Arial"/>
                <w:b/>
                <w:bCs/>
                <w:i w:val="false"/>
                <w:iCs w:val="false"/>
                <w:color w:val="C8920A"/>
                <w:sz w:val="18"/>
                <w:szCs w:val="18"/>
              </w:rPr>
              <w:t xml:space="preserve">Experience Cloud Screen Flows (2) — Layer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160"/>
        <w:gridCol w:w="3200"/>
      </w:tblGrid>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Document Upload Flow</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Experience Cloud Portal</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Screen Flow — Borrower initiated</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3-screen guided document upload: Select Loan → Choose Document Type (filtered by Loan Type) → Upload file. Creates Loan Document record.</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Loan Status Check Flow</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Experience Cloud Portal</w:t>
            </w:r>
          </w:p>
        </w:tc>
        <w:tc>
          <w:tcPr>
            <w:tcW w:type="dxa" w:w="2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Screen Flow — Borrower initiated</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Allows borrowers to check current loan application stage and status without visiting a branch.</w:t>
            </w:r>
          </w:p>
        </w:tc>
      </w:tr>
    </w:tbl>
    <w:p>
      <w:pPr>
        <w:spacing w:after="3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8920A" w:val="clear"/>
            <w:tcMar>
              <w:top w:type="dxa" w:w="160"/>
              <w:left w:type="dxa" w:w="260"/>
              <w:bottom w:type="dxa" w:w="160"/>
              <w:right w:type="dxa" w:w="260"/>
            </w:tcMar>
          </w:tcPr>
          <w:p>
            <w:pPr>
              <w:spacing w:after="40" w:before="0"/>
            </w:pPr>
            <w:r>
              <w:rPr>
                <w:rFonts w:ascii="Arial" w:cs="Arial" w:eastAsia="Arial" w:hAnsi="Arial"/>
                <w:b/>
                <w:bCs/>
                <w:color w:val="FFFFFF"/>
                <w:sz w:val="30"/>
                <w:szCs w:val="30"/>
              </w:rPr>
              <w:t xml:space="preserve">SECTION 5 — VALIDATION RULES &amp; FORMULAS</w:t>
            </w:r>
          </w:p>
          <w:p>
            <w:pPr>
              <w:spacing w:after="0" w:before="0"/>
            </w:pPr>
            <w:r>
              <w:rPr>
                <w:rFonts w:ascii="Arial" w:cs="Arial" w:eastAsia="Arial" w:hAnsi="Arial"/>
                <w:color w:val="CCCCCC"/>
                <w:sz w:val="18"/>
                <w:szCs w:val="18"/>
              </w:rPr>
              <w:t xml:space="preserve">8 Validation Rules · Risk Score Formula · Suggested Risk Level Formula</w:t>
            </w:r>
          </w:p>
        </w:tc>
      </w:tr>
    </w:tbl>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3C" w:val="clear"/>
            <w:tcMar>
              <w:top w:type="dxa" w:w="100"/>
              <w:left w:type="dxa" w:w="200"/>
              <w:bottom w:type="dxa" w:w="100"/>
              <w:right w:type="dxa" w:w="200"/>
            </w:tcMar>
          </w:tcPr>
          <w:p>
            <w:r>
              <w:rPr>
                <w:rFonts w:ascii="Arial" w:cs="Arial" w:eastAsia="Arial" w:hAnsi="Arial"/>
                <w:b/>
                <w:bCs/>
                <w:color w:val="FFFFFF"/>
                <w:sz w:val="22"/>
                <w:szCs w:val="22"/>
              </w:rPr>
              <w:t xml:space="preserve">Validation Rules — 8 Total</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3160"/>
        <w:gridCol w:w="2800"/>
      </w:tblGrid>
      <w:tr>
        <w:tc>
          <w:tcPr>
            <w:tcW w:type="dxa" w:w="24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Rule Name</w:t>
            </w:r>
          </w:p>
        </w:tc>
        <w:tc>
          <w:tcPr>
            <w:tcW w:type="dxa" w:w="10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Object</w:t>
            </w:r>
          </w:p>
        </w:tc>
        <w:tc>
          <w:tcPr>
            <w:tcW w:type="dxa" w:w="31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What it blocks</w:t>
            </w:r>
          </w:p>
        </w:tc>
        <w:tc>
          <w:tcPr>
            <w:tcW w:type="dxa" w:w="28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Why it exists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Require_Tax_ID_When_KYC_Status_is_Verified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Account</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Setting KYC Status = Verified without a Tax ID filled in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AML compliance requirement — Tax ID must be on file before identity is verified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Exposure_Limit_Breach_Check</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Financing Package</w:t>
            </w:r>
          </w:p>
        </w:tc>
        <w:tc>
          <w:tcPr>
            <w:tcW w:type="dxa" w:w="3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Saving a FP whose Total Amount would push Account exposure over Max Exposure Limit (unless exception approved)</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BCEAO/CEMAC single-borrower concentration risk rule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Require_Total_Amount</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Financing Package</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Saving a Financing Package without a Total Amount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Prevents incomplete deal records from entering the workflow</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Require_Approval_Date_When_Approved</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Financing Package</w:t>
            </w:r>
          </w:p>
        </w:tc>
        <w:tc>
          <w:tcPr>
            <w:tcW w:type="dxa" w:w="3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Setting Stage = Approved without an Approval Date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Every approved deal must have a formal approval date for audit purposes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Require_Expiry_Date_When_Approved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Financing Package</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Setting Stage = Approved without an Expiry Date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Defines the commitment window — deals cannot be open-ended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Require_Opportunity_When_Approved</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Financing Package</w:t>
            </w:r>
          </w:p>
        </w:tc>
        <w:tc>
          <w:tcPr>
            <w:tcW w:type="dxa" w:w="3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Setting Stage = Approved without a linked Opportunity</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Ensures every deal traces back to its original loan request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Require_Breach_Date_When_Breached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Covenant</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Setting Covenant Status = Breached without a Breach Date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Breach date is required for regulatory covenant reporting</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Outstanding_Balance_Cannot_Exceed_Loan_Amount</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Credit Facility</w:t>
            </w:r>
          </w:p>
        </w:tc>
        <w:tc>
          <w:tcPr>
            <w:tcW w:type="dxa" w:w="3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Setting Outstanding Balance &gt; Loan Amount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Prevents data entry errors that would overstate borrower exposure</w:t>
            </w:r>
          </w:p>
        </w:tc>
      </w:tr>
    </w:tbl>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00"/>
              <w:left w:type="dxa" w:w="200"/>
              <w:bottom w:type="dxa" w:w="100"/>
              <w:right w:type="dxa" w:w="200"/>
            </w:tcMar>
          </w:tcPr>
          <w:p>
            <w:r>
              <w:rPr>
                <w:rFonts w:ascii="Arial" w:cs="Arial" w:eastAsia="Arial" w:hAnsi="Arial"/>
                <w:b/>
                <w:bCs/>
                <w:color w:val="FFFFFF"/>
                <w:sz w:val="22"/>
                <w:szCs w:val="22"/>
              </w:rPr>
              <w:t xml:space="preserve">Risk Score Formula — 5 Dimensions, 100 Points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3"/>
              <w:left w:val="single" w:color="1A56DB" w:sz="3"/>
              <w:bottom w:val="single" w:color="1A56DB" w:sz="1"/>
              <w:right w:val="single" w:color="1A56DB" w:sz="1"/>
            </w:tcBorders>
            <w:shd w:fill="EBF2FF"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1A56DB"/>
                <w:sz w:val="19"/>
                <w:szCs w:val="19"/>
              </w:rPr>
              <w:t xml:space="preserve">Formula Field: Risk_Score__c on Financing Package — Formula (Number) — Decimal Places: 0</w:t>
            </w:r>
          </w:p>
          <w:p>
            <w:pPr>
              <w:spacing w:after="60" w:before="0"/>
              <w:jc w:val="left"/>
            </w:pPr>
            <w:r>
              <w:rPr>
                <w:rFonts w:ascii="Arial" w:cs="Arial" w:eastAsia="Arial" w:hAnsi="Arial"/>
                <w:b w:val="false"/>
                <w:bCs w:val="false"/>
                <w:i w:val="false"/>
                <w:iCs w:val="false"/>
                <w:color w:val="000000"/>
                <w:sz w:val="18"/>
                <w:szCs w:val="18"/>
              </w:rPr>
              <w:t xml:space="preserve">The Risk Score automatically calculates a 0-100 credit score for every Financing Package. Higher score = lower risk. It recalculates automatically whenever Account fields or Total Amount change.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4000"/>
              <w:gridCol w:w="2260"/>
            </w:tblGrid>
            <w:tr>
              <w:tc>
                <w:tcPr>
                  <w:tcW w:type="dxa" w:w="20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Dimension</w:t>
                  </w:r>
                </w:p>
              </w:tc>
              <w:tc>
                <w:tcPr>
                  <w:tcW w:type="dxa" w:w="7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FFFFFF"/>
                      <w:sz w:val="19"/>
                      <w:szCs w:val="19"/>
                    </w:rPr>
                    <w:t xml:space="preserve">Max Pts</w:t>
                  </w:r>
                </w:p>
              </w:tc>
              <w:tc>
                <w:tcPr>
                  <w:tcW w:type="dxa" w:w="40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Scoring Values</w:t>
                  </w:r>
                </w:p>
              </w:tc>
              <w:tc>
                <w:tcPr>
                  <w:tcW w:type="dxa" w:w="22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Change from V1</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KYC Status</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1A56DB"/>
                      <w:sz w:val="19"/>
                      <w:szCs w:val="19"/>
                    </w:rPr>
                    <w:t xml:space="preserve">20</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Verified=20 · Exempt=15 · Pending=8 · Failed=0</w:t>
                  </w:r>
                </w:p>
              </w:tc>
              <w:tc>
                <w:tcPr>
                  <w:tcW w:type="dxa" w:w="2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Reduced from 25pts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Risk Level</w:t>
                  </w:r>
                </w:p>
              </w:tc>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1A56DB"/>
                      <w:sz w:val="19"/>
                      <w:szCs w:val="19"/>
                    </w:rPr>
                    <w:t xml:space="preserve">30</w:t>
                  </w:r>
                </w:p>
              </w:tc>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Low=30 · Medium=20 · High=10 · Very High=0</w:t>
                  </w:r>
                </w:p>
              </w:tc>
              <w:tc>
                <w:tcPr>
                  <w:tcW w:type="dxa" w:w="2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Reduced from 35pts — still highest weight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Sector</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1A56DB"/>
                      <w:sz w:val="19"/>
                      <w:szCs w:val="19"/>
                    </w:rPr>
                    <w:t xml:space="preserve">15</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Treasury=15 · Trade &amp; Commerce=12 · Agriculture=10 · Informal/Microfinance=6 · Other=3</w:t>
                  </w:r>
                </w:p>
              </w:tc>
              <w:tc>
                <w:tcPr>
                  <w:tcW w:type="dxa" w:w="2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Values renamed May 2026</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Deal Size</w:t>
                  </w:r>
                </w:p>
              </w:tc>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1A56DB"/>
                      <w:sz w:val="19"/>
                      <w:szCs w:val="19"/>
                    </w:rPr>
                    <w:t xml:space="preserve">15</w:t>
                  </w:r>
                </w:p>
              </w:tc>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≤$10K=15 · ≤$50K=12 · ≤$100K=8 · &gt;$100K=4</w:t>
                  </w:r>
                </w:p>
              </w:tc>
              <w:tc>
                <w:tcPr>
                  <w:tcW w:type="dxa" w:w="2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Reduced from 20pts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Customer Type</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1A56DB"/>
                      <w:sz w:val="19"/>
                      <w:szCs w:val="19"/>
                    </w:rPr>
                    <w:t xml:space="preserve">20</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Government=20 · Financial Institution=18 · Corporate=16 · Cooperative=14 · SME=12 · Business=10 · Individual=8 · Microfinance=6</w:t>
                  </w:r>
                </w:p>
              </w:tc>
              <w:tc>
                <w:tcPr>
                  <w:tcW w:type="dxa" w:w="2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NEW — added May 2026</w:t>
                  </w:r>
                </w:p>
              </w:tc>
            </w:tr>
          </w:tbl>
          <w:p/>
        </w:tc>
      </w:tr>
    </w:tbl>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100"/>
              <w:left w:type="dxa" w:w="200"/>
              <w:bottom w:type="dxa" w:w="100"/>
              <w:right w:type="dxa" w:w="200"/>
            </w:tcMar>
          </w:tcPr>
          <w:p>
            <w:r>
              <w:rPr>
                <w:rFonts w:ascii="Arial" w:cs="Arial" w:eastAsia="Arial" w:hAnsi="Arial"/>
                <w:b/>
                <w:bCs/>
                <w:color w:val="FFFFFF"/>
                <w:sz w:val="22"/>
                <w:szCs w:val="22"/>
              </w:rPr>
              <w:t xml:space="preserve">Suggested Risk Level Formula — Alternative Credit Scoring</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3"/>
              <w:left w:val="single" w:color="0E7490" w:sz="3"/>
              <w:bottom w:val="single" w:color="0E7490" w:sz="1"/>
              <w:right w:val="single" w:color="0E7490" w:sz="1"/>
            </w:tcBorders>
            <w:shd w:fill="CFFAFE"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0E7490"/>
                <w:sz w:val="19"/>
                <w:szCs w:val="19"/>
              </w:rPr>
              <w:t xml:space="preserve">Formula Field: Suggested_Risk_Level__c on Account — Formula (Text) — Read-Only</w:t>
            </w:r>
          </w:p>
          <w:p>
            <w:pPr>
              <w:spacing w:after="60" w:before="0"/>
              <w:jc w:val="left"/>
            </w:pPr>
            <w:r>
              <w:rPr>
                <w:rFonts w:ascii="Arial" w:cs="Arial" w:eastAsia="Arial" w:hAnsi="Arial"/>
                <w:b w:val="false"/>
                <w:bCs w:val="false"/>
                <w:i w:val="false"/>
                <w:iCs w:val="false"/>
                <w:color w:val="000000"/>
                <w:sz w:val="18"/>
                <w:szCs w:val="18"/>
              </w:rPr>
              <w:t xml:space="preserve">Auto-calculates a suggested risk classification for informal sector borrowers based on 4 alternative inputs: Informal_Sector__c, Mobile_Money_Activity__c, Utility_Payment_History__c, Market_Association_Member__c.</w:t>
            </w:r>
          </w:p>
          <w:p>
            <w:pPr>
              <w:spacing w:after="60" w:before="0"/>
              <w:jc w:val="left"/>
            </w:pPr>
            <w:r>
              <w:rPr>
                <w:rFonts w:ascii="Arial" w:cs="Arial" w:eastAsia="Arial" w:hAnsi="Arial"/>
                <w:b w:val="false"/>
                <w:bCs w:val="false"/>
                <w:i/>
                <w:iCs/>
                <w:color w:val="000000"/>
                <w:sz w:val="18"/>
                <w:szCs w:val="18"/>
              </w:rPr>
              <w:t xml:space="preserve">Outputs: Suggested: LOW RISK · LOW-MEDIUM RISK · MEDIUM RISK · HIGH RISK · VERY HIGH RISK · N/A — Use Risk Level field · Insufficient Data</w:t>
            </w:r>
          </w:p>
          <w:p>
            <w:pPr>
              <w:spacing w:after="0" w:before="0"/>
              <w:jc w:val="left"/>
            </w:pPr>
            <w:r>
              <w:rPr>
                <w:rFonts w:ascii="Arial" w:cs="Arial" w:eastAsia="Arial" w:hAnsi="Arial"/>
                <w:b/>
                <w:bCs/>
                <w:i w:val="false"/>
                <w:iCs w:val="false"/>
                <w:color w:val="000000"/>
                <w:sz w:val="18"/>
                <w:szCs w:val="18"/>
              </w:rPr>
              <w:t xml:space="preserve">Zero flow impact — purely read-only. Credit Officer reads the suggestion and sets the actual Risk Level field based on professional judgment.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D8E" w:val="clear"/>
            <w:tcMar>
              <w:top w:type="dxa" w:w="160"/>
              <w:left w:type="dxa" w:w="260"/>
              <w:bottom w:type="dxa" w:w="160"/>
              <w:right w:type="dxa" w:w="260"/>
            </w:tcMar>
          </w:tcPr>
          <w:p>
            <w:pPr>
              <w:spacing w:after="40" w:before="0"/>
            </w:pPr>
            <w:r>
              <w:rPr>
                <w:rFonts w:ascii="Arial" w:cs="Arial" w:eastAsia="Arial" w:hAnsi="Arial"/>
                <w:b/>
                <w:bCs/>
                <w:color w:val="FFFFFF"/>
                <w:sz w:val="30"/>
                <w:szCs w:val="30"/>
              </w:rPr>
              <w:t xml:space="preserve">SECTION 6 — APPROVAL PROCESSES</w:t>
            </w:r>
          </w:p>
          <w:p>
            <w:pPr>
              <w:spacing w:after="0" w:before="0"/>
            </w:pPr>
            <w:r>
              <w:rPr>
                <w:rFonts w:ascii="Arial" w:cs="Arial" w:eastAsia="Arial" w:hAnsi="Arial"/>
                <w:color w:val="CCCCCC"/>
                <w:sz w:val="18"/>
                <w:szCs w:val="18"/>
              </w:rPr>
              <w:t xml:space="preserve">3 Approval Processes — routing logic, approvers, and entry criteria</w:t>
            </w:r>
          </w:p>
        </w:tc>
      </w:tr>
    </w:tbl>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00"/>
              <w:left w:type="dxa" w:w="200"/>
              <w:bottom w:type="dxa" w:w="100"/>
              <w:right w:type="dxa" w:w="200"/>
            </w:tcMar>
          </w:tcPr>
          <w:p>
            <w:r>
              <w:rPr>
                <w:rFonts w:ascii="Arial" w:cs="Arial" w:eastAsia="Arial" w:hAnsi="Arial"/>
                <w:b/>
                <w:bCs/>
                <w:color w:val="FFFFFF"/>
                <w:sz w:val="20"/>
                <w:szCs w:val="20"/>
              </w:rPr>
              <w:t xml:space="preserve">CF360 Financing Package Approval Process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Object</w:t>
            </w:r>
          </w:p>
        </w:tc>
        <w:tc>
          <w:tcPr>
            <w:tcW w:type="dxa" w:w="40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Entry Criteria</w:t>
            </w:r>
          </w:p>
        </w:tc>
        <w:tc>
          <w:tcPr>
            <w:tcW w:type="dxa" w:w="40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Financing Package</w:t>
            </w:r>
          </w:p>
        </w:tc>
        <w:tc>
          <w:tcPr>
            <w:tcW w:type="dxa" w:w="4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Stage = Credit Review</w:t>
            </w:r>
          </w:p>
        </w:tc>
        <w:tc>
          <w:tcPr>
            <w:tcW w:type="dxa" w:w="4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Routing</w:t>
            </w:r>
          </w:p>
        </w:tc>
        <w:tc>
          <w:tcPr>
            <w:tcW w:type="dxa" w:w="8160"/>
            <w:gridSpan w:val="2"/>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pStyle w:val="ListParagraph"/>
              <w:numPr>
                <w:ilvl w:val="0"/>
                <w:numId w:val="2"/>
              </w:numPr>
              <w:spacing w:after="30" w:before="30"/>
            </w:pPr>
            <w:r>
              <w:rPr>
                <w:rFonts w:ascii="Arial" w:cs="Arial" w:eastAsia="Arial" w:hAnsi="Arial"/>
                <w:b w:val="false"/>
                <w:bCs w:val="false"/>
                <w:color w:val="000000"/>
                <w:sz w:val="19"/>
                <w:szCs w:val="19"/>
              </w:rPr>
              <w:t xml:space="preserve">Level 1 — Ngozi Adeyemi (Senior Credit Officer): Total Amount ≤ $500,000 AND Committee Deal = False</w:t>
            </w:r>
          </w:p>
          <w:p>
            <w:pPr>
              <w:pStyle w:val="ListParagraph"/>
              <w:numPr>
                <w:ilvl w:val="0"/>
                <w:numId w:val="2"/>
              </w:numPr>
              <w:spacing w:after="30" w:before="30"/>
            </w:pPr>
            <w:r>
              <w:rPr>
                <w:rFonts w:ascii="Arial" w:cs="Arial" w:eastAsia="Arial" w:hAnsi="Arial"/>
                <w:b w:val="false"/>
                <w:bCs w:val="false"/>
                <w:color w:val="000000"/>
                <w:sz w:val="19"/>
                <w:szCs w:val="19"/>
              </w:rPr>
              <w:t xml:space="preserve">Level 2 — Kwame Asante (CRO): Total Amount $500K-$2M AND Committee Deal = False</w:t>
            </w:r>
          </w:p>
          <w:p>
            <w:pPr>
              <w:pStyle w:val="ListParagraph"/>
              <w:numPr>
                <w:ilvl w:val="0"/>
                <w:numId w:val="2"/>
              </w:numPr>
              <w:spacing w:after="30" w:before="30"/>
            </w:pPr>
            <w:r>
              <w:rPr>
                <w:rFonts w:ascii="Arial" w:cs="Arial" w:eastAsia="Arial" w:hAnsi="Arial"/>
                <w:b w:val="false"/>
                <w:bCs w:val="false"/>
                <w:color w:val="000000"/>
                <w:sz w:val="19"/>
                <w:szCs w:val="19"/>
              </w:rPr>
              <w:t xml:space="preserve">Level 3 — Fatima Diallo (CFO): All deals &gt; $2M OR Committee Deal = True — routes directly regardless of amount</w:t>
            </w:r>
          </w:p>
        </w:tc>
      </w:tr>
    </w:tbl>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532D" w:val="clear"/>
            <w:tcMar>
              <w:top w:type="dxa" w:w="100"/>
              <w:left w:type="dxa" w:w="200"/>
              <w:bottom w:type="dxa" w:w="100"/>
              <w:right w:type="dxa" w:w="200"/>
            </w:tcMar>
          </w:tcPr>
          <w:p>
            <w:r>
              <w:rPr>
                <w:rFonts w:ascii="Arial" w:cs="Arial" w:eastAsia="Arial" w:hAnsi="Arial"/>
                <w:b/>
                <w:bCs/>
                <w:color w:val="FFFFFF"/>
                <w:sz w:val="20"/>
                <w:szCs w:val="20"/>
              </w:rPr>
              <w:t xml:space="preserve">CF360 Credit Memo Approval Process V3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Object</w:t>
            </w:r>
          </w:p>
        </w:tc>
        <w:tc>
          <w:tcPr>
            <w:tcW w:type="dxa" w:w="40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Entry Criteria</w:t>
            </w:r>
          </w:p>
        </w:tc>
        <w:tc>
          <w:tcPr>
            <w:tcW w:type="dxa" w:w="40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Credit Memo</w:t>
            </w:r>
          </w:p>
        </w:tc>
        <w:tc>
          <w:tcPr>
            <w:tcW w:type="dxa" w:w="4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Memo Status = Submitted</w:t>
            </w:r>
          </w:p>
        </w:tc>
        <w:tc>
          <w:tcPr>
            <w:tcW w:type="dxa" w:w="4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Routing</w:t>
            </w:r>
          </w:p>
        </w:tc>
        <w:tc>
          <w:tcPr>
            <w:tcW w:type="dxa" w:w="8160"/>
            <w:gridSpan w:val="2"/>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pStyle w:val="ListParagraph"/>
              <w:numPr>
                <w:ilvl w:val="0"/>
                <w:numId w:val="2"/>
              </w:numPr>
              <w:spacing w:after="30" w:before="30"/>
            </w:pPr>
            <w:r>
              <w:rPr>
                <w:rFonts w:ascii="Arial" w:cs="Arial" w:eastAsia="Arial" w:hAnsi="Arial"/>
                <w:b w:val="false"/>
                <w:bCs w:val="false"/>
                <w:color w:val="000000"/>
                <w:sz w:val="19"/>
                <w:szCs w:val="19"/>
              </w:rPr>
              <w:t xml:space="preserve">Level 1 — Routes to assigned Credit Officer approver</w:t>
            </w:r>
          </w:p>
          <w:p>
            <w:pPr>
              <w:pStyle w:val="ListParagraph"/>
              <w:numPr>
                <w:ilvl w:val="0"/>
                <w:numId w:val="2"/>
              </w:numPr>
              <w:spacing w:after="30" w:before="30"/>
            </w:pPr>
            <w:r>
              <w:rPr>
                <w:rFonts w:ascii="Arial" w:cs="Arial" w:eastAsia="Arial" w:hAnsi="Arial"/>
                <w:b w:val="false"/>
                <w:bCs w:val="false"/>
                <w:color w:val="000000"/>
                <w:sz w:val="19"/>
                <w:szCs w:val="19"/>
              </w:rPr>
              <w:t xml:space="preserve">Level 2 — Routes to Senior Credit Officer (Ngozi Adeyemi)</w:t>
            </w:r>
          </w:p>
          <w:p>
            <w:pPr>
              <w:pStyle w:val="ListParagraph"/>
              <w:numPr>
                <w:ilvl w:val="0"/>
                <w:numId w:val="2"/>
              </w:numPr>
              <w:spacing w:after="30" w:before="30"/>
            </w:pPr>
            <w:r>
              <w:rPr>
                <w:rFonts w:ascii="Arial" w:cs="Arial" w:eastAsia="Arial" w:hAnsi="Arial"/>
                <w:b w:val="false"/>
                <w:bCs w:val="false"/>
                <w:color w:val="000000"/>
                <w:sz w:val="19"/>
                <w:szCs w:val="19"/>
              </w:rPr>
              <w:t xml:space="preserve">Level 3 — Routes to CFO (Fatima Diallo) — Final approval sets Memo Status = Approved</w:t>
            </w:r>
          </w:p>
        </w:tc>
      </w:tr>
    </w:tbl>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8920A" w:val="clear"/>
            <w:tcMar>
              <w:top w:type="dxa" w:w="100"/>
              <w:left w:type="dxa" w:w="200"/>
              <w:bottom w:type="dxa" w:w="100"/>
              <w:right w:type="dxa" w:w="200"/>
            </w:tcMar>
          </w:tcPr>
          <w:p>
            <w:r>
              <w:rPr>
                <w:rFonts w:ascii="Arial" w:cs="Arial" w:eastAsia="Arial" w:hAnsi="Arial"/>
                <w:b/>
                <w:bCs/>
                <w:color w:val="FFFFFF"/>
                <w:sz w:val="20"/>
                <w:szCs w:val="20"/>
              </w:rPr>
              <w:t xml:space="preserve">CF360 Credit Exception Approval Process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Object</w:t>
            </w:r>
          </w:p>
        </w:tc>
        <w:tc>
          <w:tcPr>
            <w:tcW w:type="dxa" w:w="40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Entry Criteria</w:t>
            </w:r>
          </w:p>
        </w:tc>
        <w:tc>
          <w:tcPr>
            <w:tcW w:type="dxa" w:w="40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Credit Exception</w:t>
            </w:r>
          </w:p>
        </w:tc>
        <w:tc>
          <w:tcPr>
            <w:tcW w:type="dxa" w:w="4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Exception Status = Draft — Submit for Approval</w:t>
            </w:r>
          </w:p>
        </w:tc>
        <w:tc>
          <w:tcPr>
            <w:tcW w:type="dxa" w:w="4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Routing</w:t>
            </w:r>
          </w:p>
        </w:tc>
        <w:tc>
          <w:tcPr>
            <w:tcW w:type="dxa" w:w="8160"/>
            <w:gridSpan w:val="2"/>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pStyle w:val="ListParagraph"/>
              <w:numPr>
                <w:ilvl w:val="0"/>
                <w:numId w:val="2"/>
              </w:numPr>
              <w:spacing w:after="30" w:before="30"/>
            </w:pPr>
            <w:r>
              <w:rPr>
                <w:rFonts w:ascii="Arial" w:cs="Arial" w:eastAsia="Arial" w:hAnsi="Arial"/>
                <w:b w:val="false"/>
                <w:bCs w:val="false"/>
                <w:color w:val="000000"/>
                <w:sz w:val="19"/>
                <w:szCs w:val="19"/>
              </w:rPr>
              <w:t xml:space="preserve">Single level — Therence Ngoa (System Administrator) approves all exceptions</w:t>
            </w:r>
          </w:p>
          <w:p>
            <w:pPr>
              <w:pStyle w:val="ListParagraph"/>
              <w:numPr>
                <w:ilvl w:val="0"/>
                <w:numId w:val="2"/>
              </w:numPr>
              <w:spacing w:after="30" w:before="30"/>
            </w:pPr>
            <w:r>
              <w:rPr>
                <w:rFonts w:ascii="Arial" w:cs="Arial" w:eastAsia="Arial" w:hAnsi="Arial"/>
                <w:b w:val="false"/>
                <w:bCs w:val="false"/>
                <w:color w:val="000000"/>
                <w:sz w:val="19"/>
                <w:szCs w:val="19"/>
              </w:rPr>
              <w:t xml:space="preserve">Supports: Exposure Limit Override · Document Waiver · Covenant Breach Waiver · Policy Override · Other</w:t>
            </w:r>
          </w:p>
          <w:p>
            <w:pPr>
              <w:pStyle w:val="ListParagraph"/>
              <w:numPr>
                <w:ilvl w:val="0"/>
                <w:numId w:val="2"/>
              </w:numPr>
              <w:spacing w:after="30" w:before="30"/>
            </w:pPr>
            <w:r>
              <w:rPr>
                <w:rFonts w:ascii="Arial" w:cs="Arial" w:eastAsia="Arial" w:hAnsi="Arial"/>
                <w:b w:val="false"/>
                <w:bCs w:val="false"/>
                <w:color w:val="000000"/>
                <w:sz w:val="19"/>
                <w:szCs w:val="19"/>
              </w:rPr>
              <w:t xml:space="preserve">On approval: Exposure_Exception_Approved__c checked automatically by approval action</w:t>
            </w:r>
          </w:p>
        </w:tc>
      </w:tr>
    </w:tbl>
    <w:p>
      <w:pPr>
        <w:spacing w:after="4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160"/>
              <w:left w:type="dxa" w:w="260"/>
              <w:bottom w:type="dxa" w:w="160"/>
              <w:right w:type="dxa" w:w="260"/>
            </w:tcMar>
          </w:tcPr>
          <w:p>
            <w:pPr>
              <w:spacing w:after="40" w:before="0"/>
            </w:pPr>
            <w:r>
              <w:rPr>
                <w:rFonts w:ascii="Arial" w:cs="Arial" w:eastAsia="Arial" w:hAnsi="Arial"/>
                <w:b/>
                <w:bCs/>
                <w:color w:val="FFFFFF"/>
                <w:sz w:val="30"/>
                <w:szCs w:val="30"/>
              </w:rPr>
              <w:t xml:space="preserve">SECTION 7 — ROLES &amp; PERMISSIONS</w:t>
            </w:r>
          </w:p>
          <w:p>
            <w:pPr>
              <w:spacing w:after="0" w:before="0"/>
            </w:pPr>
            <w:r>
              <w:rPr>
                <w:rFonts w:ascii="Arial" w:cs="Arial" w:eastAsia="Arial" w:hAnsi="Arial"/>
                <w:color w:val="CCCCCC"/>
                <w:sz w:val="18"/>
                <w:szCs w:val="18"/>
              </w:rPr>
              <w:t xml:space="preserve">17 Roles · 13 Permission Sets · 16 Permission Set Groups</w:t>
            </w:r>
          </w:p>
        </w:tc>
      </w:tr>
    </w:tbl>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2080"/>
        <w:gridCol w:w="1800"/>
      </w:tblGrid>
      <w:tr>
        <w:tc>
          <w:tcPr>
            <w:tcW w:type="dxa" w:w="20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Role</w:t>
            </w:r>
          </w:p>
        </w:tc>
        <w:tc>
          <w:tcPr>
            <w:tcW w:type="dxa" w:w="348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Key Capabilities</w:t>
            </w:r>
          </w:p>
        </w:tc>
        <w:tc>
          <w:tcPr>
            <w:tcW w:type="dxa" w:w="208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Cannot Do</w:t>
            </w:r>
          </w:p>
        </w:tc>
        <w:tc>
          <w:tcPr>
            <w:tcW w:type="dxa" w:w="18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Approves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System Administrator
(Therence Ngoa)</w:t>
            </w:r>
          </w:p>
        </w:tc>
        <w:tc>
          <w:tcPr>
            <w:tcW w:type="dxa" w:w="3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Full access to all 12 objects. Manage users, roles, flows, approval processes. Run all reports.</w:t>
            </w:r>
          </w:p>
        </w:tc>
        <w:tc>
          <w:tcPr>
            <w:tcW w:type="dxa" w:w="2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Nothing — full platform access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All Credit Exceptions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Chief Financial Officer
(Fatima Diallo)</w:t>
            </w:r>
          </w:p>
        </w:tc>
        <w:tc>
          <w:tcPr>
            <w:tcW w:type="dxa" w:w="34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Approve/reject FP at Level 3. View full portfolio. Run Portfolio Manager Dashboard.</w:t>
            </w:r>
          </w:p>
        </w:tc>
        <w:tc>
          <w:tcPr>
            <w:tcW w:type="dxa" w:w="20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Cannot create/edit lending records. No Setup access.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Level 3 FP (&gt;$2M or Committee)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Chief Risk Officer
(Kwame Asante)</w:t>
            </w:r>
          </w:p>
        </w:tc>
        <w:tc>
          <w:tcPr>
            <w:tcW w:type="dxa" w:w="3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Approve/reject FP at Level 2. Approve Credit Memos Level 3. View all objects. Run all reports.</w:t>
            </w:r>
          </w:p>
        </w:tc>
        <w:tc>
          <w:tcPr>
            <w:tcW w:type="dxa" w:w="2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Cannot delete Accounts. No Setup access.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Level 2 FP ($500K-$2M)</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Senior Credit Officer
(Ngozi Adeyemi)</w:t>
            </w:r>
          </w:p>
        </w:tc>
        <w:tc>
          <w:tcPr>
            <w:tcW w:type="dxa" w:w="34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Approve Credit Memos. Full edit on all lending objects. Write Credit Analysis sections.</w:t>
            </w:r>
          </w:p>
        </w:tc>
        <w:tc>
          <w:tcPr>
            <w:tcW w:type="dxa" w:w="20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Cannot approve FP above Level 2 threshold.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Level 1 FP (≤$500K)</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Credit Officer
(Wanjiru Kamau)</w:t>
            </w:r>
          </w:p>
        </w:tc>
        <w:tc>
          <w:tcPr>
            <w:tcW w:type="dxa" w:w="3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Create FP, Credit Memo, Credit Facility, Collateral, Covenant, Loan Document. Submit memos.</w:t>
            </w:r>
          </w:p>
        </w:tc>
        <w:tc>
          <w:tcPr>
            <w:tcW w:type="dxa" w:w="2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Cannot approve own memos. Cannot override exposure limits.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Nothing — submits only</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Relationship Manager</w:t>
            </w:r>
          </w:p>
        </w:tc>
        <w:tc>
          <w:tcPr>
            <w:tcW w:type="dxa" w:w="34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Create/edit Accounts and Opportunities. Create FP in Draft/Prospect. Upload documents.</w:t>
            </w:r>
          </w:p>
        </w:tc>
        <w:tc>
          <w:tcPr>
            <w:tcW w:type="dxa" w:w="20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Cannot advance FP beyond Proposal. Cannot write Credit Memos.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Nothing</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Compliance Officer</w:t>
            </w:r>
          </w:p>
        </w:tc>
        <w:tc>
          <w:tcPr>
            <w:tcW w:type="dxa" w:w="3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Set KYC Status. Verify/reject documents. Run Compliance Dashboard.</w:t>
            </w:r>
          </w:p>
        </w:tc>
        <w:tc>
          <w:tcPr>
            <w:tcW w:type="dxa" w:w="2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Cannot create/approve FP. Cannot write Credit Memos.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Nothing</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Portfolio Manager</w:t>
            </w:r>
          </w:p>
        </w:tc>
        <w:tc>
          <w:tcPr>
            <w:tcW w:type="dxa" w:w="34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Monitor all FPs and Credit Facilities. Run Portfolio Dashboard. Update covenant compliance.</w:t>
            </w:r>
          </w:p>
        </w:tc>
        <w:tc>
          <w:tcPr>
            <w:tcW w:type="dxa" w:w="20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Cannot create new deals. Cannot approve.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Nothing</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Internal Auditor</w:t>
            </w:r>
          </w:p>
        </w:tc>
        <w:tc>
          <w:tcPr>
            <w:tcW w:type="dxa" w:w="3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Read-only access to all 12 objects. View Audit Logs and Approval History.</w:t>
            </w:r>
          </w:p>
        </w:tc>
        <w:tc>
          <w:tcPr>
            <w:tcW w:type="dxa" w:w="2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Cannot create, edit, or delete any record.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Nothing</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Branch Manager</w:t>
            </w:r>
          </w:p>
        </w:tc>
        <w:tc>
          <w:tcPr>
            <w:tcW w:type="dxa" w:w="34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Full visibility within branch. Edit lending operations. Monitor branch portfolio.</w:t>
            </w:r>
          </w:p>
        </w:tc>
        <w:tc>
          <w:tcPr>
            <w:tcW w:type="dxa" w:w="20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Cannot approve above Level 1.</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Level 1 (branch deals)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Operations Officer</w:t>
            </w:r>
          </w:p>
        </w:tc>
        <w:tc>
          <w:tcPr>
            <w:tcW w:type="dxa" w:w="3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Record disbursements. Update Disbursement Date and Outstanding Balance on Credit Facility.</w:t>
            </w:r>
          </w:p>
        </w:tc>
        <w:tc>
          <w:tcPr>
            <w:tcW w:type="dxa" w:w="2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Cannot create FP. Cannot write Credit Memos.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Nothing</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Field Agent</w:t>
            </w:r>
          </w:p>
        </w:tc>
        <w:tc>
          <w:tcPr>
            <w:tcW w:type="dxa" w:w="34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Collect borrower info in field. Create/update Accounts. Upload documents from mobile.</w:t>
            </w:r>
          </w:p>
        </w:tc>
        <w:tc>
          <w:tcPr>
            <w:tcW w:type="dxa" w:w="20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Cannot approve or submit anything. Cannot see Risk Scores.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Nothing</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Microfinance Officer</w:t>
            </w:r>
          </w:p>
        </w:tc>
        <w:tc>
          <w:tcPr>
            <w:tcW w:type="dxa" w:w="3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Manage small loans for informal/group borrowers. Create group lending Borrowing Structures.</w:t>
            </w:r>
          </w:p>
        </w:tc>
        <w:tc>
          <w:tcPr>
            <w:tcW w:type="dxa" w:w="2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Cannot approve above microfinance thresholds.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Nothing</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Regulator View</w:t>
            </w:r>
          </w:p>
        </w:tc>
        <w:tc>
          <w:tcPr>
            <w:tcW w:type="dxa" w:w="34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Read-only: KYC compliance, covenant status, document completeness, audit trail via Regulator Dashboard.</w:t>
            </w:r>
          </w:p>
        </w:tc>
        <w:tc>
          <w:tcPr>
            <w:tcW w:type="dxa" w:w="20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Cannot see financial amounts, Risk Scores, Credit Memo content, or Approval History.</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Nothing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160"/>
              <w:left w:type="dxa" w:w="260"/>
              <w:bottom w:type="dxa" w:w="160"/>
              <w:right w:type="dxa" w:w="260"/>
            </w:tcMar>
          </w:tcPr>
          <w:p>
            <w:pPr>
              <w:spacing w:after="40" w:before="0"/>
            </w:pPr>
            <w:r>
              <w:rPr>
                <w:rFonts w:ascii="Arial" w:cs="Arial" w:eastAsia="Arial" w:hAnsi="Arial"/>
                <w:b/>
                <w:bCs/>
                <w:color w:val="FFFFFF"/>
                <w:sz w:val="30"/>
                <w:szCs w:val="30"/>
              </w:rPr>
              <w:t xml:space="preserve">SECTION 8 — CURRENCIES &amp; MARKETS</w:t>
            </w:r>
          </w:p>
          <w:p>
            <w:pPr>
              <w:spacing w:after="0" w:before="0"/>
            </w:pPr>
            <w:r>
              <w:rPr>
                <w:rFonts w:ascii="Arial" w:cs="Arial" w:eastAsia="Arial" w:hAnsi="Arial"/>
                <w:color w:val="CCCCCC"/>
                <w:sz w:val="18"/>
                <w:szCs w:val="18"/>
              </w:rPr>
              <w:t xml:space="preserve">10 Active Currencies · 11 Markets · Full Cascade Automation</w:t>
            </w:r>
          </w:p>
        </w:tc>
      </w:tr>
    </w:tbl>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3"/>
              <w:left w:val="single" w:color="14532D" w:sz="3"/>
              <w:bottom w:val="single" w:color="14532D" w:sz="1"/>
              <w:right w:val="single" w:color="14532D" w:sz="1"/>
            </w:tcBorders>
            <w:shd w:fill="DCFCE7"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14532D"/>
                <w:sz w:val="19"/>
                <w:szCs w:val="19"/>
              </w:rPr>
              <w:t xml:space="preserve">Currency Cascade — Zero Manual Selection</w:t>
            </w:r>
          </w:p>
          <w:p>
            <w:pPr>
              <w:spacing w:after="0" w:before="0"/>
              <w:jc w:val="left"/>
            </w:pPr>
            <w:r>
              <w:rPr>
                <w:rFonts w:ascii="Arial" w:cs="Arial" w:eastAsia="Arial" w:hAnsi="Arial"/>
                <w:b w:val="false"/>
                <w:bCs w:val="false"/>
                <w:i w:val="false"/>
                <w:iCs w:val="false"/>
                <w:color w:val="000000"/>
                <w:sz w:val="18"/>
                <w:szCs w:val="18"/>
              </w:rPr>
              <w:t xml:space="preserve">When a Relationship Manager selects a country in the Primary Market field on an Account, the system automatically sets the correct currency on the Account, then on the Opportunity, then on the Financing Package, then on the Credit Facility, and finally on the Collateral. Five flows working in sequence — the banker never selects a currency manually.</w:t>
            </w:r>
          </w:p>
        </w:tc>
      </w:tr>
    </w:tbl>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200"/>
        <w:gridCol w:w="800"/>
        <w:gridCol w:w="4660"/>
      </w:tblGrid>
      <w:tr>
        <w:tc>
          <w:tcPr>
            <w:tcW w:type="dxa" w:w="7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Code</w:t>
            </w:r>
          </w:p>
        </w:tc>
        <w:tc>
          <w:tcPr>
            <w:tcW w:type="dxa" w:w="20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Currency Name</w:t>
            </w:r>
          </w:p>
        </w:tc>
        <w:tc>
          <w:tcPr>
            <w:tcW w:type="dxa" w:w="1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FFFFFF"/>
                <w:sz w:val="19"/>
                <w:szCs w:val="19"/>
              </w:rPr>
              <w:t xml:space="preserve">Rate vs USD</w:t>
            </w:r>
          </w:p>
        </w:tc>
        <w:tc>
          <w:tcPr>
            <w:tcW w:type="dxa" w:w="8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FFFFFF"/>
                <w:sz w:val="19"/>
                <w:szCs w:val="19"/>
              </w:rPr>
              <w:t xml:space="preserve">Decimals</w:t>
            </w:r>
          </w:p>
        </w:tc>
        <w:tc>
          <w:tcPr>
            <w:tcW w:type="dxa" w:w="46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Countries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1A56DB"/>
                <w:sz w:val="19"/>
                <w:szCs w:val="19"/>
              </w:rPr>
              <w:t xml:space="preserve">USD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U.S. Dollar</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1.00</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2</w:t>
            </w:r>
          </w:p>
        </w:tc>
        <w:tc>
          <w:tcPr>
            <w:tcW w:type="dxa" w:w="4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Corporate currency — international deals</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1A56DB"/>
                <w:sz w:val="19"/>
                <w:szCs w:val="19"/>
              </w:rPr>
              <w:t xml:space="preserve">XOF</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CFA Franc (BCEAO)</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564</w:t>
            </w:r>
          </w:p>
        </w:tc>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0</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Senegal, Ivory Coast, Mali, Burkina Faso, Niger, Togo, Benin, Guinea-Bissau</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1A56DB"/>
                <w:sz w:val="19"/>
                <w:szCs w:val="19"/>
              </w:rPr>
              <w:t xml:space="preserve">XAF</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CFA Franc (BEAC)</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600</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0</w:t>
            </w:r>
          </w:p>
        </w:tc>
        <w:tc>
          <w:tcPr>
            <w:tcW w:type="dxa" w:w="4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Cameroon, Congo, Gabon, Chad, CAR, Equatorial Guinea</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1A56DB"/>
                <w:sz w:val="19"/>
                <w:szCs w:val="19"/>
              </w:rPr>
              <w:t xml:space="preserve">NGN</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Nigerian Naira</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1,370</w:t>
            </w:r>
          </w:p>
        </w:tc>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2</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Nigeria</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1A56DB"/>
                <w:sz w:val="19"/>
                <w:szCs w:val="19"/>
              </w:rPr>
              <w:t xml:space="preserve">GHS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Ghanaian Cedi</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11.40</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2</w:t>
            </w:r>
          </w:p>
        </w:tc>
        <w:tc>
          <w:tcPr>
            <w:tcW w:type="dxa" w:w="4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Ghana</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1A56DB"/>
                <w:sz w:val="19"/>
                <w:szCs w:val="19"/>
              </w:rPr>
              <w:t xml:space="preserve">LRD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Liberian Dollar</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183</w:t>
            </w:r>
          </w:p>
        </w:tc>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2</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Liberia</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1A56DB"/>
                <w:sz w:val="19"/>
                <w:szCs w:val="19"/>
              </w:rPr>
              <w:t xml:space="preserve">KES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Kenyan Shilling</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129</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2</w:t>
            </w:r>
          </w:p>
        </w:tc>
        <w:tc>
          <w:tcPr>
            <w:tcW w:type="dxa" w:w="4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Kenya</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1A56DB"/>
                <w:sz w:val="19"/>
                <w:szCs w:val="19"/>
              </w:rPr>
              <w:t xml:space="preserve">RWF</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Rwanda Franc</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1,400</w:t>
            </w:r>
          </w:p>
        </w:tc>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0</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Rwanda</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1A56DB"/>
                <w:sz w:val="19"/>
                <w:szCs w:val="19"/>
              </w:rPr>
              <w:t xml:space="preserve">CDF</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Franc Congolais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2,800</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2</w:t>
            </w:r>
          </w:p>
        </w:tc>
        <w:tc>
          <w:tcPr>
            <w:tcW w:type="dxa" w:w="4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Congo (DRC)</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1A56DB"/>
                <w:sz w:val="19"/>
                <w:szCs w:val="19"/>
              </w:rPr>
              <w:t xml:space="preserve">EUR</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Euro</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0.92</w:t>
            </w:r>
          </w:p>
        </w:tc>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2</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France, international deals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3C" w:val="clear"/>
            <w:tcMar>
              <w:top w:type="dxa" w:w="160"/>
              <w:left w:type="dxa" w:w="260"/>
              <w:bottom w:type="dxa" w:w="160"/>
              <w:right w:type="dxa" w:w="260"/>
            </w:tcMar>
          </w:tcPr>
          <w:p>
            <w:pPr>
              <w:spacing w:after="40" w:before="0"/>
            </w:pPr>
            <w:r>
              <w:rPr>
                <w:rFonts w:ascii="Arial" w:cs="Arial" w:eastAsia="Arial" w:hAnsi="Arial"/>
                <w:b/>
                <w:bCs/>
                <w:color w:val="FFFFFF"/>
                <w:sz w:val="30"/>
                <w:szCs w:val="30"/>
              </w:rPr>
              <w:t xml:space="preserve">SECTION 9 — KEY PICKLISTS &amp; FIELD DEPENDENCIES</w:t>
            </w:r>
          </w:p>
          <w:p>
            <w:pPr>
              <w:spacing w:after="0" w:before="0"/>
            </w:pPr>
            <w:r>
              <w:rPr>
                <w:rFonts w:ascii="Arial" w:cs="Arial" w:eastAsia="Arial" w:hAnsi="Arial"/>
                <w:color w:val="CCCCCC"/>
                <w:sz w:val="18"/>
                <w:szCs w:val="18"/>
              </w:rPr>
              <w:t xml:space="preserve">Critical picklist values and field dependency relationships</w:t>
            </w:r>
          </w:p>
        </w:tc>
      </w:tr>
    </w:tbl>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3C" w:val="clear"/>
            <w:tcMar>
              <w:top w:type="dxa" w:w="80"/>
              <w:left w:type="dxa" w:w="160"/>
              <w:bottom w:type="dxa" w:w="80"/>
              <w:right w:type="dxa" w:w="160"/>
            </w:tcMar>
          </w:tcPr>
          <w:p>
            <w:r>
              <w:rPr>
                <w:rFonts w:ascii="Arial" w:cs="Arial" w:eastAsia="Arial" w:hAnsi="Arial"/>
                <w:b/>
                <w:bCs/>
                <w:color w:val="FFFFFF"/>
                <w:sz w:val="19"/>
                <w:szCs w:val="19"/>
              </w:rPr>
              <w:t xml:space="preserve">Opportunity Stage (Loan Request) — 8 lending-specific values</w:t>
            </w:r>
          </w:p>
        </w:tc>
      </w:tr>
      <w:tr>
        <w:tc>
          <w:tcPr>
            <w:tcW w:type="dxa" w:w="9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pPr>
              <w:spacing w:after="40" w:before="0"/>
              <w:jc w:val="left"/>
            </w:pPr>
            <w:r>
              <w:rPr>
                <w:rFonts w:ascii="Arial" w:cs="Arial" w:eastAsia="Arial" w:hAnsi="Arial"/>
                <w:b w:val="false"/>
                <w:bCs w:val="false"/>
                <w:i w:val="false"/>
                <w:iCs w:val="false"/>
                <w:color w:val="000000"/>
                <w:sz w:val="18"/>
                <w:szCs w:val="18"/>
              </w:rPr>
              <w:t xml:space="preserve">Prospecting (10%) · Under Review (20%) · Documentation (40%) · Submitted (60%) · Credit Assessment (75%) · Approved (100%/Closed Won) · Declined (0%/Closed Lost) · Withdrawn (0%/Closed Lost)</w:t>
            </w:r>
          </w:p>
          <w:p>
            <w:pPr>
              <w:spacing w:after="0" w:before="0"/>
              <w:jc w:val="left"/>
            </w:pPr>
            <w:r>
              <w:rPr>
                <w:rFonts w:ascii="Arial" w:cs="Arial" w:eastAsia="Arial" w:hAnsi="Arial"/>
                <w:b w:val="false"/>
                <w:bCs w:val="false"/>
                <w:i/>
                <w:iCs/>
                <w:color w:val="64748B"/>
                <w:sz w:val="16"/>
                <w:szCs w:val="16"/>
              </w:rPr>
              <w:t xml:space="preserve">Note: Old generic CRM stages deactivated. Lending-specific stages added May 2026.</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80"/>
              <w:left w:type="dxa" w:w="160"/>
              <w:bottom w:type="dxa" w:w="80"/>
              <w:right w:type="dxa" w:w="160"/>
            </w:tcMar>
          </w:tcPr>
          <w:p>
            <w:r>
              <w:rPr>
                <w:rFonts w:ascii="Arial" w:cs="Arial" w:eastAsia="Arial" w:hAnsi="Arial"/>
                <w:b/>
                <w:bCs/>
                <w:color w:val="FFFFFF"/>
                <w:sz w:val="19"/>
                <w:szCs w:val="19"/>
              </w:rPr>
              <w:t xml:space="preserve">Account Customer Type — 8 values</w:t>
            </w:r>
          </w:p>
        </w:tc>
      </w:tr>
      <w:tr>
        <w:tc>
          <w:tcPr>
            <w:tcW w:type="dxa" w:w="9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pPr>
              <w:spacing w:after="40" w:before="0"/>
              <w:jc w:val="left"/>
            </w:pPr>
            <w:r>
              <w:rPr>
                <w:rFonts w:ascii="Arial" w:cs="Arial" w:eastAsia="Arial" w:hAnsi="Arial"/>
                <w:b w:val="false"/>
                <w:bCs w:val="false"/>
                <w:i w:val="false"/>
                <w:iCs w:val="false"/>
                <w:color w:val="000000"/>
                <w:sz w:val="18"/>
                <w:szCs w:val="18"/>
              </w:rPr>
              <w:t xml:space="preserve">Individual · Business · SME · Corporate · Cooperative · Microfinance · Government · Financial Institution</w:t>
            </w:r>
          </w:p>
          <w:p>
            <w:pPr>
              <w:spacing w:after="0" w:before="0"/>
              <w:jc w:val="left"/>
            </w:pPr>
            <w:r>
              <w:rPr>
                <w:rFonts w:ascii="Arial" w:cs="Arial" w:eastAsia="Arial" w:hAnsi="Arial"/>
                <w:b w:val="false"/>
                <w:bCs w:val="false"/>
                <w:i/>
                <w:iCs/>
                <w:color w:val="64748B"/>
                <w:sz w:val="16"/>
                <w:szCs w:val="16"/>
              </w:rPr>
              <w:t xml:space="preserve">Note: Cooperative added May 2026. Used in Risk Score formula (20 points).</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3C" w:val="clear"/>
            <w:tcMar>
              <w:top w:type="dxa" w:w="80"/>
              <w:left w:type="dxa" w:w="160"/>
              <w:bottom w:type="dxa" w:w="80"/>
              <w:right w:type="dxa" w:w="160"/>
            </w:tcMar>
          </w:tcPr>
          <w:p>
            <w:r>
              <w:rPr>
                <w:rFonts w:ascii="Arial" w:cs="Arial" w:eastAsia="Arial" w:hAnsi="Arial"/>
                <w:b/>
                <w:bCs/>
                <w:color w:val="FFFFFF"/>
                <w:sz w:val="19"/>
                <w:szCs w:val="19"/>
              </w:rPr>
              <w:t xml:space="preserve">Account Sector — 5 values</w:t>
            </w:r>
          </w:p>
        </w:tc>
      </w:tr>
      <w:tr>
        <w:tc>
          <w:tcPr>
            <w:tcW w:type="dxa" w:w="9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pPr>
              <w:spacing w:after="40" w:before="0"/>
              <w:jc w:val="left"/>
            </w:pPr>
            <w:r>
              <w:rPr>
                <w:rFonts w:ascii="Arial" w:cs="Arial" w:eastAsia="Arial" w:hAnsi="Arial"/>
                <w:b w:val="false"/>
                <w:bCs w:val="false"/>
                <w:i w:val="false"/>
                <w:iCs w:val="false"/>
                <w:color w:val="000000"/>
                <w:sz w:val="18"/>
                <w:szCs w:val="18"/>
              </w:rPr>
              <w:t xml:space="preserve">Agriculture · Trade &amp; Commerce · Informal/Microfinance Activity · Treasury · Other</w:t>
            </w:r>
          </w:p>
          <w:p>
            <w:pPr>
              <w:spacing w:after="0" w:before="0"/>
              <w:jc w:val="left"/>
            </w:pPr>
            <w:r>
              <w:rPr>
                <w:rFonts w:ascii="Arial" w:cs="Arial" w:eastAsia="Arial" w:hAnsi="Arial"/>
                <w:b w:val="false"/>
                <w:bCs w:val="false"/>
                <w:i/>
                <w:iCs/>
                <w:color w:val="64748B"/>
                <w:sz w:val="16"/>
                <w:szCs w:val="16"/>
              </w:rPr>
              <w:t xml:space="preserve">Note: Small Business/SME renamed to Trade &amp; Commerce. Microfinance renamed to Informal/Microfinance Activity — May 2026.</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80"/>
              <w:left w:type="dxa" w:w="160"/>
              <w:bottom w:type="dxa" w:w="80"/>
              <w:right w:type="dxa" w:w="160"/>
            </w:tcMar>
          </w:tcPr>
          <w:p>
            <w:r>
              <w:rPr>
                <w:rFonts w:ascii="Arial" w:cs="Arial" w:eastAsia="Arial" w:hAnsi="Arial"/>
                <w:b/>
                <w:bCs/>
                <w:color w:val="FFFFFF"/>
                <w:sz w:val="19"/>
                <w:szCs w:val="19"/>
              </w:rPr>
              <w:t xml:space="preserve">Account Primary Market — 11 values</w:t>
            </w:r>
          </w:p>
        </w:tc>
      </w:tr>
      <w:tr>
        <w:tc>
          <w:tcPr>
            <w:tcW w:type="dxa" w:w="9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pPr>
              <w:spacing w:after="40" w:before="0"/>
              <w:jc w:val="left"/>
            </w:pPr>
            <w:r>
              <w:rPr>
                <w:rFonts w:ascii="Arial" w:cs="Arial" w:eastAsia="Arial" w:hAnsi="Arial"/>
                <w:b w:val="false"/>
                <w:bCs w:val="false"/>
                <w:i w:val="false"/>
                <w:iCs w:val="false"/>
                <w:color w:val="000000"/>
                <w:sz w:val="18"/>
                <w:szCs w:val="18"/>
              </w:rPr>
              <w:t xml:space="preserve">Cameroon · Congo · Senegal · Ivory Coast · Liberia · Kenya · Rwanda · Nigeria · USA · France · Ghana</w:t>
            </w:r>
          </w:p>
          <w:p>
            <w:pPr>
              <w:spacing w:after="0" w:before="0"/>
              <w:jc w:val="left"/>
            </w:pPr>
            <w:r>
              <w:rPr>
                <w:rFonts w:ascii="Arial" w:cs="Arial" w:eastAsia="Arial" w:hAnsi="Arial"/>
                <w:b w:val="false"/>
                <w:bCs w:val="false"/>
                <w:i/>
                <w:iCs/>
                <w:color w:val="64748B"/>
                <w:sz w:val="16"/>
                <w:szCs w:val="16"/>
              </w:rPr>
              <w:t xml:space="preserve">Note: Ghana added May 2026. Each value triggers currency auto-set via flow.</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3C" w:val="clear"/>
            <w:tcMar>
              <w:top w:type="dxa" w:w="80"/>
              <w:left w:type="dxa" w:w="160"/>
              <w:bottom w:type="dxa" w:w="80"/>
              <w:right w:type="dxa" w:w="160"/>
            </w:tcMar>
          </w:tcPr>
          <w:p>
            <w:r>
              <w:rPr>
                <w:rFonts w:ascii="Arial" w:cs="Arial" w:eastAsia="Arial" w:hAnsi="Arial"/>
                <w:b/>
                <w:bCs/>
                <w:color w:val="FFFFFF"/>
                <w:sz w:val="19"/>
                <w:szCs w:val="19"/>
              </w:rPr>
              <w:t xml:space="preserve">Account Risk Level — 4 values</w:t>
            </w:r>
          </w:p>
        </w:tc>
      </w:tr>
      <w:tr>
        <w:tc>
          <w:tcPr>
            <w:tcW w:type="dxa" w:w="9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pPr>
              <w:spacing w:after="40" w:before="0"/>
              <w:jc w:val="left"/>
            </w:pPr>
            <w:r>
              <w:rPr>
                <w:rFonts w:ascii="Arial" w:cs="Arial" w:eastAsia="Arial" w:hAnsi="Arial"/>
                <w:b w:val="false"/>
                <w:bCs w:val="false"/>
                <w:i w:val="false"/>
                <w:iCs w:val="false"/>
                <w:color w:val="000000"/>
                <w:sz w:val="18"/>
                <w:szCs w:val="18"/>
              </w:rPr>
              <w:t xml:space="preserve">Low (30pts) · Medium (20pts) · High (10pts) · Very High (0pts)</w:t>
            </w:r>
          </w:p>
          <w:p>
            <w:pPr>
              <w:spacing w:after="0" w:before="0"/>
              <w:jc w:val="left"/>
            </w:pPr>
            <w:r>
              <w:rPr>
                <w:rFonts w:ascii="Arial" w:cs="Arial" w:eastAsia="Arial" w:hAnsi="Arial"/>
                <w:b w:val="false"/>
                <w:bCs w:val="false"/>
                <w:i/>
                <w:iCs/>
                <w:color w:val="64748B"/>
                <w:sz w:val="16"/>
                <w:szCs w:val="16"/>
              </w:rPr>
              <w:t xml:space="preserve">Note: Used in Risk Score formula on Financing Package. Set by Credit Officer only.</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80"/>
              <w:left w:type="dxa" w:w="160"/>
              <w:bottom w:type="dxa" w:w="80"/>
              <w:right w:type="dxa" w:w="160"/>
            </w:tcMar>
          </w:tcPr>
          <w:p>
            <w:r>
              <w:rPr>
                <w:rFonts w:ascii="Arial" w:cs="Arial" w:eastAsia="Arial" w:hAnsi="Arial"/>
                <w:b/>
                <w:bCs/>
                <w:color w:val="FFFFFF"/>
                <w:sz w:val="19"/>
                <w:szCs w:val="19"/>
              </w:rPr>
              <w:t xml:space="preserve">Credit Facility Loan Type — 13 values</w:t>
            </w:r>
          </w:p>
        </w:tc>
      </w:tr>
      <w:tr>
        <w:tc>
          <w:tcPr>
            <w:tcW w:type="dxa" w:w="9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pPr>
              <w:spacing w:after="40" w:before="0"/>
              <w:jc w:val="left"/>
            </w:pPr>
            <w:r>
              <w:rPr>
                <w:rFonts w:ascii="Arial" w:cs="Arial" w:eastAsia="Arial" w:hAnsi="Arial"/>
                <w:b w:val="false"/>
                <w:bCs w:val="false"/>
                <w:i w:val="false"/>
                <w:iCs w:val="false"/>
                <w:color w:val="000000"/>
                <w:sz w:val="18"/>
                <w:szCs w:val="18"/>
              </w:rPr>
              <w:t xml:space="preserve">Working Capital · Equipment Loan · Agriculture Loan · Microfinance Loan · Trade Finance · Personal Loan · Mortgage · Overdraft · Term Loan · Invoice Financing · Construction Loan · Government Contract Financing · Other</w:t>
            </w:r>
          </w:p>
          <w:p>
            <w:pPr>
              <w:spacing w:after="0" w:before="0"/>
              <w:jc w:val="left"/>
            </w:pPr>
            <w:r>
              <w:rPr>
                <w:rFonts w:ascii="Arial" w:cs="Arial" w:eastAsia="Arial" w:hAnsi="Arial"/>
                <w:b w:val="false"/>
                <w:bCs w:val="false"/>
                <w:i/>
                <w:iCs/>
                <w:color w:val="64748B"/>
                <w:sz w:val="16"/>
                <w:szCs w:val="16"/>
              </w:rPr>
              <w:t xml:space="preserve">Note: Controlling field for Interest Rate field dependency.</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3C" w:val="clear"/>
            <w:tcMar>
              <w:top w:type="dxa" w:w="80"/>
              <w:left w:type="dxa" w:w="160"/>
              <w:bottom w:type="dxa" w:w="80"/>
              <w:right w:type="dxa" w:w="160"/>
            </w:tcMar>
          </w:tcPr>
          <w:p>
            <w:r>
              <w:rPr>
                <w:rFonts w:ascii="Arial" w:cs="Arial" w:eastAsia="Arial" w:hAnsi="Arial"/>
                <w:b/>
                <w:bCs/>
                <w:color w:val="FFFFFF"/>
                <w:sz w:val="19"/>
                <w:szCs w:val="19"/>
              </w:rPr>
              <w:t xml:space="preserve">Credit Facility Interest Rate — 34 values + field dependency</w:t>
            </w:r>
          </w:p>
        </w:tc>
      </w:tr>
      <w:tr>
        <w:tc>
          <w:tcPr>
            <w:tcW w:type="dxa" w:w="9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pPr>
              <w:spacing w:after="40" w:before="0"/>
              <w:jc w:val="left"/>
            </w:pPr>
            <w:r>
              <w:rPr>
                <w:rFonts w:ascii="Arial" w:cs="Arial" w:eastAsia="Arial" w:hAnsi="Arial"/>
                <w:b w:val="false"/>
                <w:bCs w:val="false"/>
                <w:i w:val="false"/>
                <w:iCs w:val="false"/>
                <w:color w:val="000000"/>
                <w:sz w:val="18"/>
                <w:szCs w:val="18"/>
              </w:rPr>
              <w:t xml:space="preserve">6.00 to 24.00 at 0.50 increments + Custom Rate. Field dependency: Loan Type controls which rates are visible.</w:t>
            </w:r>
          </w:p>
          <w:p>
            <w:pPr>
              <w:spacing w:after="0" w:before="0"/>
              <w:jc w:val="left"/>
            </w:pPr>
            <w:r>
              <w:rPr>
                <w:rFonts w:ascii="Arial" w:cs="Arial" w:eastAsia="Arial" w:hAnsi="Arial"/>
                <w:b w:val="false"/>
                <w:bCs w:val="false"/>
                <w:i/>
                <w:iCs/>
                <w:color w:val="64748B"/>
                <w:sz w:val="16"/>
                <w:szCs w:val="16"/>
              </w:rPr>
              <w:t xml:space="preserve">Note: Agriculture: 6.00-12.00 · Working Capital: 8.00-15.00 · Microfinance: 12.00-24.00 · Other: Custom Rate only.</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80"/>
              <w:left w:type="dxa" w:w="160"/>
              <w:bottom w:type="dxa" w:w="80"/>
              <w:right w:type="dxa" w:w="160"/>
            </w:tcMar>
          </w:tcPr>
          <w:p>
            <w:r>
              <w:rPr>
                <w:rFonts w:ascii="Arial" w:cs="Arial" w:eastAsia="Arial" w:hAnsi="Arial"/>
                <w:b/>
                <w:bCs/>
                <w:color w:val="FFFFFF"/>
                <w:sz w:val="19"/>
                <w:szCs w:val="19"/>
              </w:rPr>
              <w:t xml:space="preserve">Financing Package Purpose — 9 values</w:t>
            </w:r>
          </w:p>
        </w:tc>
      </w:tr>
      <w:tr>
        <w:tc>
          <w:tcPr>
            <w:tcW w:type="dxa" w:w="9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pPr>
              <w:spacing w:after="40" w:before="0"/>
              <w:jc w:val="left"/>
            </w:pPr>
            <w:r>
              <w:rPr>
                <w:rFonts w:ascii="Arial" w:cs="Arial" w:eastAsia="Arial" w:hAnsi="Arial"/>
                <w:b w:val="false"/>
                <w:bCs w:val="false"/>
                <w:i w:val="false"/>
                <w:iCs w:val="false"/>
                <w:color w:val="000000"/>
                <w:sz w:val="18"/>
                <w:szCs w:val="18"/>
              </w:rPr>
              <w:t xml:space="preserve">Working Capital · Asset Purchase · Trade Finance · Construction · Refinancing · Agricultural Input · Real Estate · Government Contract · Other</w:t>
            </w:r>
          </w:p>
          <w:p>
            <w:pPr>
              <w:spacing w:after="0" w:before="0"/>
              <w:jc w:val="left"/>
            </w:pPr>
            <w:r>
              <w:rPr>
                <w:rFonts w:ascii="Arial" w:cs="Arial" w:eastAsia="Arial" w:hAnsi="Arial"/>
                <w:b w:val="false"/>
                <w:bCs w:val="false"/>
                <w:i/>
                <w:iCs/>
                <w:color w:val="64748B"/>
                <w:sz w:val="16"/>
                <w:szCs w:val="16"/>
              </w:rPr>
              <w:t xml:space="preserve">Note: Real Estate and Government Contract added May 2026.</w:t>
            </w:r>
          </w:p>
        </w:tc>
      </w:tr>
    </w:tbl>
    <w:p>
      <w:pPr>
        <w:spacing w:after="2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532D" w:val="clear"/>
            <w:tcMar>
              <w:top w:type="dxa" w:w="160"/>
              <w:left w:type="dxa" w:w="260"/>
              <w:bottom w:type="dxa" w:w="160"/>
              <w:right w:type="dxa" w:w="260"/>
            </w:tcMar>
          </w:tcPr>
          <w:p>
            <w:pPr>
              <w:spacing w:after="40" w:before="0"/>
            </w:pPr>
            <w:r>
              <w:rPr>
                <w:rFonts w:ascii="Arial" w:cs="Arial" w:eastAsia="Arial" w:hAnsi="Arial"/>
                <w:b/>
                <w:bCs/>
                <w:color w:val="FFFFFF"/>
                <w:sz w:val="30"/>
                <w:szCs w:val="30"/>
              </w:rPr>
              <w:t xml:space="preserve">SECTION 10 — TEST BORROWERS</w:t>
            </w:r>
          </w:p>
          <w:p>
            <w:pPr>
              <w:spacing w:after="0" w:before="0"/>
            </w:pPr>
            <w:r>
              <w:rPr>
                <w:rFonts w:ascii="Arial" w:cs="Arial" w:eastAsia="Arial" w:hAnsi="Arial"/>
                <w:color w:val="CCCCCC"/>
                <w:sz w:val="18"/>
                <w:szCs w:val="18"/>
              </w:rPr>
              <w:t xml:space="preserve">7 borrowers covering all approval levels, countries, and loan types</w:t>
            </w:r>
          </w:p>
        </w:tc>
      </w:tr>
    </w:tbl>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700"/>
        <w:gridCol w:w="900"/>
        <w:gridCol w:w="1400"/>
        <w:gridCol w:w="1160"/>
        <w:gridCol w:w="2000"/>
      </w:tblGrid>
      <w:tr>
        <w:tc>
          <w:tcPr>
            <w:tcW w:type="dxa" w:w="2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Borrower</w:t>
            </w:r>
          </w:p>
        </w:tc>
        <w:tc>
          <w:tcPr>
            <w:tcW w:type="dxa" w:w="10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Country</w:t>
            </w:r>
          </w:p>
        </w:tc>
        <w:tc>
          <w:tcPr>
            <w:tcW w:type="dxa" w:w="7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Currency</w:t>
            </w:r>
          </w:p>
        </w:tc>
        <w:tc>
          <w:tcPr>
            <w:tcW w:type="dxa" w:w="9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Amount</w:t>
            </w:r>
          </w:p>
        </w:tc>
        <w:tc>
          <w:tcPr>
            <w:tcW w:type="dxa" w:w="14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Loan Type</w:t>
            </w:r>
          </w:p>
        </w:tc>
        <w:tc>
          <w:tcPr>
            <w:tcW w:type="dxa" w:w="11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Approval Level</w:t>
            </w:r>
          </w:p>
        </w:tc>
        <w:tc>
          <w:tcPr>
            <w:tcW w:type="dxa" w:w="20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Key Test Scenario</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Diallo Textile Export SARL</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Senegal</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XOF</w:t>
            </w:r>
          </w:p>
        </w:tc>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00000"/>
                <w:sz w:val="19"/>
                <w:szCs w:val="19"/>
              </w:rPr>
              <w:t xml:space="preserve">$45,000</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Working Capital</w:t>
            </w:r>
          </w:p>
        </w:tc>
        <w:tc>
          <w:tcPr>
            <w:tcW w:type="dxa" w:w="1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Level 1</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Basic SME end-to-end lifecycle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Obi Agricultural Cooperative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Nigeria</w:t>
            </w:r>
          </w:p>
        </w:tc>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NGN</w:t>
            </w:r>
          </w:p>
        </w:tc>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00000"/>
                <w:sz w:val="19"/>
                <w:szCs w:val="19"/>
              </w:rPr>
              <w:t xml:space="preserve">$18,000</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Agriculture Loan</w:t>
            </w:r>
          </w:p>
        </w:tc>
        <w:tc>
          <w:tcPr>
            <w:tcW w:type="dxa" w:w="1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Level 1</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Group lending + informal sector scoring</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Mvondo Construction SARL</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Cameroon</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XAF</w:t>
            </w:r>
          </w:p>
        </w:tc>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00000"/>
                <w:sz w:val="19"/>
                <w:szCs w:val="19"/>
              </w:rPr>
              <w:t xml:space="preserve">$350,000</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Government Contract</w:t>
            </w:r>
          </w:p>
        </w:tc>
        <w:tc>
          <w:tcPr>
            <w:tcW w:type="dxa" w:w="1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Level 1</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Government contract financing</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Asante Cocoa Traders Ltd</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Ghana</w:t>
            </w:r>
          </w:p>
        </w:tc>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GHS</w:t>
            </w:r>
          </w:p>
        </w:tc>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00000"/>
                <w:sz w:val="19"/>
                <w:szCs w:val="19"/>
              </w:rPr>
              <w:t xml:space="preserve">$75,000</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Trade Finance</w:t>
            </w:r>
          </w:p>
        </w:tc>
        <w:tc>
          <w:tcPr>
            <w:tcW w:type="dxa" w:w="1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L1 → L3</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Document checklist gate enforcement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Kouyaté Palm Oil Processing Ltd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Ivory Coast</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XOF</w:t>
            </w:r>
          </w:p>
        </w:tc>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00000"/>
                <w:sz w:val="19"/>
                <w:szCs w:val="19"/>
              </w:rPr>
              <w:t xml:space="preserve">$850,000</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Equipment Loan</w:t>
            </w:r>
          </w:p>
        </w:tc>
        <w:tc>
          <w:tcPr>
            <w:tcW w:type="dxa" w:w="1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Level 2 → L3</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Mid-tier multi-level approval</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Okonkwo Cement Manufacturing Ltd</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Nigeria</w:t>
            </w:r>
          </w:p>
        </w:tc>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NGN</w:t>
            </w:r>
          </w:p>
        </w:tc>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00000"/>
                <w:sz w:val="19"/>
                <w:szCs w:val="19"/>
              </w:rPr>
              <w:t xml:space="preserve">$1,800,000</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Term Loan</w:t>
            </w:r>
          </w:p>
        </w:tc>
        <w:tc>
          <w:tcPr>
            <w:tcW w:type="dxa" w:w="1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Level 2 → L3</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Large deal credit committee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Ndoumbe Real Estate Holdings</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Cameroon</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XAF</w:t>
            </w:r>
          </w:p>
        </w:tc>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00000"/>
                <w:sz w:val="19"/>
                <w:szCs w:val="19"/>
              </w:rPr>
              <w:t xml:space="preserve">$3,200,000</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Real Estate</w:t>
            </w:r>
          </w:p>
        </w:tc>
        <w:tc>
          <w:tcPr>
            <w:tcW w:type="dxa" w:w="1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Level 3 Direct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Committee deal — largest deal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8920A" w:val="clear"/>
            <w:tcMar>
              <w:top w:type="dxa" w:w="160"/>
              <w:left w:type="dxa" w:w="260"/>
              <w:bottom w:type="dxa" w:w="160"/>
              <w:right w:type="dxa" w:w="260"/>
            </w:tcMar>
          </w:tcPr>
          <w:p>
            <w:pPr>
              <w:spacing w:after="40" w:before="0"/>
            </w:pPr>
            <w:r>
              <w:rPr>
                <w:rFonts w:ascii="Arial" w:cs="Arial" w:eastAsia="Arial" w:hAnsi="Arial"/>
                <w:b/>
                <w:bCs/>
                <w:color w:val="FFFFFF"/>
                <w:sz w:val="30"/>
                <w:szCs w:val="30"/>
              </w:rPr>
              <w:t xml:space="preserve">SECTION 11 — BUILT vs DESIGN-READY</w:t>
            </w:r>
          </w:p>
          <w:p>
            <w:pPr>
              <w:spacing w:after="0" w:before="0"/>
            </w:pPr>
            <w:r>
              <w:rPr>
                <w:rFonts w:ascii="Arial" w:cs="Arial" w:eastAsia="Arial" w:hAnsi="Arial"/>
                <w:color w:val="CCCCCC"/>
                <w:sz w:val="18"/>
                <w:szCs w:val="18"/>
              </w:rPr>
              <w:t xml:space="preserve">What is live in the Developer Edition org vs what awaits production deployment</w:t>
            </w:r>
          </w:p>
        </w:tc>
      </w:tr>
    </w:tbl>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DCFCE7" w:val="clear"/>
            <w:tcMar>
              <w:top w:type="dxa" w:w="140"/>
              <w:left w:type="dxa" w:w="160"/>
              <w:bottom w:type="dxa" w:w="140"/>
              <w:right w:type="dxa" w:w="160"/>
            </w:tcMar>
          </w:tcPr>
          <w:p>
            <w:pPr>
              <w:spacing w:after="60" w:before="0"/>
              <w:jc w:val="left"/>
            </w:pPr>
            <w:r>
              <w:rPr>
                <w:rFonts w:ascii="Arial" w:cs="Arial" w:eastAsia="Arial" w:hAnsi="Arial"/>
                <w:b/>
                <w:bCs/>
                <w:i w:val="false"/>
                <w:iCs w:val="false"/>
                <w:color w:val="14532D"/>
                <w:sz w:val="20"/>
                <w:szCs w:val="20"/>
              </w:rPr>
              <w:t xml:space="preserve">✅ Built &amp; Active in Developer Edition</w:t>
            </w:r>
          </w:p>
          <w:p>
            <w:pPr>
              <w:pStyle w:val="ListParagraph"/>
              <w:numPr>
                <w:ilvl w:val="0"/>
                <w:numId w:val="2"/>
              </w:numPr>
              <w:spacing w:after="30" w:before="30"/>
            </w:pPr>
            <w:r>
              <w:rPr>
                <w:rFonts w:ascii="Arial" w:cs="Arial" w:eastAsia="Arial" w:hAnsi="Arial"/>
                <w:b w:val="false"/>
                <w:bCs w:val="false"/>
                <w:color w:val="000000"/>
                <w:sz w:val="19"/>
                <w:szCs w:val="19"/>
              </w:rPr>
              <w:t xml:space="preserve">All 12 custom/standard objects with 180+ fields</w:t>
            </w:r>
          </w:p>
          <w:p>
            <w:pPr>
              <w:pStyle w:val="ListParagraph"/>
              <w:numPr>
                <w:ilvl w:val="0"/>
                <w:numId w:val="2"/>
              </w:numPr>
              <w:spacing w:after="30" w:before="30"/>
            </w:pPr>
            <w:r>
              <w:rPr>
                <w:rFonts w:ascii="Arial" w:cs="Arial" w:eastAsia="Arial" w:hAnsi="Arial"/>
                <w:b w:val="false"/>
                <w:bCs w:val="false"/>
                <w:color w:val="000000"/>
                <w:sz w:val="19"/>
                <w:szCs w:val="19"/>
              </w:rPr>
              <w:t xml:space="preserve">27+ record-triggered and scheduled flows</w:t>
            </w:r>
          </w:p>
          <w:p>
            <w:pPr>
              <w:pStyle w:val="ListParagraph"/>
              <w:numPr>
                <w:ilvl w:val="0"/>
                <w:numId w:val="2"/>
              </w:numPr>
              <w:spacing w:after="30" w:before="30"/>
            </w:pPr>
            <w:r>
              <w:rPr>
                <w:rFonts w:ascii="Arial" w:cs="Arial" w:eastAsia="Arial" w:hAnsi="Arial"/>
                <w:b w:val="false"/>
                <w:bCs w:val="false"/>
                <w:color w:val="000000"/>
                <w:sz w:val="19"/>
                <w:szCs w:val="19"/>
              </w:rPr>
              <w:t xml:space="preserve">8 validation rules</w:t>
            </w:r>
          </w:p>
          <w:p>
            <w:pPr>
              <w:pStyle w:val="ListParagraph"/>
              <w:numPr>
                <w:ilvl w:val="0"/>
                <w:numId w:val="2"/>
              </w:numPr>
              <w:spacing w:after="30" w:before="30"/>
            </w:pPr>
            <w:r>
              <w:rPr>
                <w:rFonts w:ascii="Arial" w:cs="Arial" w:eastAsia="Arial" w:hAnsi="Arial"/>
                <w:b w:val="false"/>
                <w:bCs w:val="false"/>
                <w:color w:val="000000"/>
                <w:sz w:val="19"/>
                <w:szCs w:val="19"/>
              </w:rPr>
              <w:t xml:space="preserve">3 approval processes</w:t>
            </w:r>
          </w:p>
          <w:p>
            <w:pPr>
              <w:pStyle w:val="ListParagraph"/>
              <w:numPr>
                <w:ilvl w:val="0"/>
                <w:numId w:val="2"/>
              </w:numPr>
              <w:spacing w:after="30" w:before="30"/>
            </w:pPr>
            <w:r>
              <w:rPr>
                <w:rFonts w:ascii="Arial" w:cs="Arial" w:eastAsia="Arial" w:hAnsi="Arial"/>
                <w:b w:val="false"/>
                <w:bCs w:val="false"/>
                <w:color w:val="000000"/>
                <w:sz w:val="19"/>
                <w:szCs w:val="19"/>
              </w:rPr>
              <w:t xml:space="preserve">5-dimension Risk Score formula</w:t>
            </w:r>
          </w:p>
          <w:p>
            <w:pPr>
              <w:pStyle w:val="ListParagraph"/>
              <w:numPr>
                <w:ilvl w:val="0"/>
                <w:numId w:val="2"/>
              </w:numPr>
              <w:spacing w:after="30" w:before="30"/>
            </w:pPr>
            <w:r>
              <w:rPr>
                <w:rFonts w:ascii="Arial" w:cs="Arial" w:eastAsia="Arial" w:hAnsi="Arial"/>
                <w:b w:val="false"/>
                <w:bCs w:val="false"/>
                <w:color w:val="000000"/>
                <w:sz w:val="19"/>
                <w:szCs w:val="19"/>
              </w:rPr>
              <w:t xml:space="preserve">Suggested Risk Level formula</w:t>
            </w:r>
          </w:p>
          <w:p>
            <w:pPr>
              <w:pStyle w:val="ListParagraph"/>
              <w:numPr>
                <w:ilvl w:val="0"/>
                <w:numId w:val="2"/>
              </w:numPr>
              <w:spacing w:after="30" w:before="30"/>
            </w:pPr>
            <w:r>
              <w:rPr>
                <w:rFonts w:ascii="Arial" w:cs="Arial" w:eastAsia="Arial" w:hAnsi="Arial"/>
                <w:b w:val="false"/>
                <w:bCs w:val="false"/>
                <w:color w:val="000000"/>
                <w:sz w:val="19"/>
                <w:szCs w:val="19"/>
              </w:rPr>
              <w:t xml:space="preserve">34-value Interest Rate picklist + field dependency</w:t>
            </w:r>
          </w:p>
          <w:p>
            <w:pPr>
              <w:pStyle w:val="ListParagraph"/>
              <w:numPr>
                <w:ilvl w:val="0"/>
                <w:numId w:val="2"/>
              </w:numPr>
              <w:spacing w:after="30" w:before="30"/>
            </w:pPr>
            <w:r>
              <w:rPr>
                <w:rFonts w:ascii="Arial" w:cs="Arial" w:eastAsia="Arial" w:hAnsi="Arial"/>
                <w:b w:val="false"/>
                <w:bCs w:val="false"/>
                <w:color w:val="000000"/>
                <w:sz w:val="19"/>
                <w:szCs w:val="19"/>
              </w:rPr>
              <w:t xml:space="preserve">Currency cascade (5 flows — all objects)</w:t>
            </w:r>
          </w:p>
          <w:p>
            <w:pPr>
              <w:pStyle w:val="ListParagraph"/>
              <w:numPr>
                <w:ilvl w:val="0"/>
                <w:numId w:val="2"/>
              </w:numPr>
              <w:spacing w:after="30" w:before="30"/>
            </w:pPr>
            <w:r>
              <w:rPr>
                <w:rFonts w:ascii="Arial" w:cs="Arial" w:eastAsia="Arial" w:hAnsi="Arial"/>
                <w:b w:val="false"/>
                <w:bCs w:val="false"/>
                <w:color w:val="000000"/>
                <w:sz w:val="19"/>
                <w:szCs w:val="19"/>
              </w:rPr>
              <w:t xml:space="preserve">10 currencies configured</w:t>
            </w:r>
          </w:p>
          <w:p>
            <w:pPr>
              <w:pStyle w:val="ListParagraph"/>
              <w:numPr>
                <w:ilvl w:val="0"/>
                <w:numId w:val="2"/>
              </w:numPr>
              <w:spacing w:after="30" w:before="30"/>
            </w:pPr>
            <w:r>
              <w:rPr>
                <w:rFonts w:ascii="Arial" w:cs="Arial" w:eastAsia="Arial" w:hAnsi="Arial"/>
                <w:b w:val="false"/>
                <w:bCs w:val="false"/>
                <w:color w:val="000000"/>
                <w:sz w:val="19"/>
                <w:szCs w:val="19"/>
              </w:rPr>
              <w:t xml:space="preserve">17 roles + 13 permission sets + 16 PSGs</w:t>
            </w:r>
          </w:p>
          <w:p>
            <w:pPr>
              <w:pStyle w:val="ListParagraph"/>
              <w:numPr>
                <w:ilvl w:val="0"/>
                <w:numId w:val="2"/>
              </w:numPr>
              <w:spacing w:after="30" w:before="30"/>
            </w:pPr>
            <w:r>
              <w:rPr>
                <w:rFonts w:ascii="Arial" w:cs="Arial" w:eastAsia="Arial" w:hAnsi="Arial"/>
                <w:b w:val="false"/>
                <w:bCs w:val="false"/>
                <w:color w:val="000000"/>
                <w:sz w:val="19"/>
                <w:szCs w:val="19"/>
              </w:rPr>
              <w:t xml:space="preserve">7 test borrowers with real data</w:t>
            </w:r>
          </w:p>
          <w:p>
            <w:pPr>
              <w:pStyle w:val="ListParagraph"/>
              <w:numPr>
                <w:ilvl w:val="0"/>
                <w:numId w:val="2"/>
              </w:numPr>
              <w:spacing w:after="30" w:before="30"/>
            </w:pPr>
            <w:r>
              <w:rPr>
                <w:rFonts w:ascii="Arial" w:cs="Arial" w:eastAsia="Arial" w:hAnsi="Arial"/>
                <w:b w:val="false"/>
                <w:bCs w:val="false"/>
                <w:color w:val="000000"/>
                <w:sz w:val="19"/>
                <w:szCs w:val="19"/>
              </w:rPr>
              <w:t xml:space="preserve">10 reports + 4 dashboards</w:t>
            </w:r>
          </w:p>
          <w:p>
            <w:pPr>
              <w:pStyle w:val="ListParagraph"/>
              <w:numPr>
                <w:ilvl w:val="0"/>
                <w:numId w:val="2"/>
              </w:numPr>
              <w:spacing w:after="30" w:before="30"/>
            </w:pPr>
            <w:r>
              <w:rPr>
                <w:rFonts w:ascii="Arial" w:cs="Arial" w:eastAsia="Arial" w:hAnsi="Arial"/>
                <w:b w:val="false"/>
                <w:bCs w:val="false"/>
                <w:color w:val="000000"/>
                <w:sz w:val="19"/>
                <w:szCs w:val="19"/>
              </w:rPr>
              <w:t xml:space="preserve">5 custom report types + 4 list views</w:t>
            </w:r>
          </w:p>
          <w:p>
            <w:pPr>
              <w:pStyle w:val="ListParagraph"/>
              <w:numPr>
                <w:ilvl w:val="0"/>
                <w:numId w:val="2"/>
              </w:numPr>
              <w:spacing w:after="30" w:before="30"/>
            </w:pPr>
            <w:r>
              <w:rPr>
                <w:rFonts w:ascii="Arial" w:cs="Arial" w:eastAsia="Arial" w:hAnsi="Arial"/>
                <w:b w:val="false"/>
                <w:bCs w:val="false"/>
                <w:color w:val="000000"/>
                <w:sz w:val="19"/>
                <w:szCs w:val="19"/>
              </w:rPr>
              <w:t xml:space="preserve">2 Experience Cloud screen flows</w:t>
            </w:r>
          </w:p>
          <w:p>
            <w:pPr>
              <w:pStyle w:val="ListParagraph"/>
              <w:numPr>
                <w:ilvl w:val="0"/>
                <w:numId w:val="2"/>
              </w:numPr>
              <w:spacing w:after="30" w:before="30"/>
            </w:pPr>
            <w:r>
              <w:rPr>
                <w:rFonts w:ascii="Arial" w:cs="Arial" w:eastAsia="Arial" w:hAnsi="Arial"/>
                <w:b w:val="false"/>
                <w:bCs w:val="false"/>
                <w:color w:val="000000"/>
                <w:sz w:val="19"/>
                <w:szCs w:val="19"/>
              </w:rPr>
              <w:t xml:space="preserve">Complete audit log trail</w:t>
            </w:r>
          </w:p>
          <w:p>
            <w:pPr>
              <w:pStyle w:val="ListParagraph"/>
              <w:numPr>
                <w:ilvl w:val="0"/>
                <w:numId w:val="2"/>
              </w:numPr>
              <w:spacing w:after="30" w:before="30"/>
            </w:pPr>
            <w:r>
              <w:rPr>
                <w:rFonts w:ascii="Arial" w:cs="Arial" w:eastAsia="Arial" w:hAnsi="Arial"/>
                <w:b w:val="false"/>
                <w:bCs w:val="false"/>
                <w:color w:val="000000"/>
                <w:sz w:val="19"/>
                <w:szCs w:val="19"/>
              </w:rPr>
              <w:t xml:space="preserve">Covenant breach real-time detection</w:t>
            </w:r>
          </w:p>
          <w:p>
            <w:pPr>
              <w:pStyle w:val="ListParagraph"/>
              <w:numPr>
                <w:ilvl w:val="0"/>
                <w:numId w:val="2"/>
              </w:numPr>
              <w:spacing w:after="30" w:before="30"/>
            </w:pPr>
            <w:r>
              <w:rPr>
                <w:rFonts w:ascii="Arial" w:cs="Arial" w:eastAsia="Arial" w:hAnsi="Arial"/>
                <w:b w:val="false"/>
                <w:bCs w:val="false"/>
                <w:color w:val="000000"/>
                <w:sz w:val="19"/>
                <w:szCs w:val="19"/>
              </w:rPr>
              <w:t xml:space="preserve">Scheduled monitoring flows (daily + weekly)</w:t>
            </w:r>
          </w:p>
        </w:tc>
        <w:tc>
          <w:tcPr>
            <w:tcW w:type="dxa" w:w="4680"/>
            <w:tcBorders>
              <w:top w:val="single" w:color="E2E8F0" w:sz="1"/>
              <w:left w:val="single" w:color="E2E8F0" w:sz="1"/>
              <w:bottom w:val="single" w:color="E2E8F0" w:sz="1"/>
              <w:right w:val="single" w:color="E2E8F0" w:sz="1"/>
            </w:tcBorders>
            <w:shd w:fill="FFF8E6" w:val="clear"/>
            <w:tcMar>
              <w:top w:type="dxa" w:w="140"/>
              <w:left w:type="dxa" w:w="160"/>
              <w:bottom w:type="dxa" w:w="140"/>
              <w:right w:type="dxa" w:w="160"/>
            </w:tcMar>
          </w:tcPr>
          <w:p>
            <w:pPr>
              <w:spacing w:after="60" w:before="0"/>
              <w:jc w:val="left"/>
            </w:pPr>
            <w:r>
              <w:rPr>
                <w:rFonts w:ascii="Arial" w:cs="Arial" w:eastAsia="Arial" w:hAnsi="Arial"/>
                <w:b/>
                <w:bCs/>
                <w:i w:val="false"/>
                <w:iCs w:val="false"/>
                <w:color w:val="C8920A"/>
                <w:sz w:val="20"/>
                <w:szCs w:val="20"/>
              </w:rPr>
              <w:t xml:space="preserve">⏳ Design-Ready — Awaiting Production Deployment</w:t>
            </w:r>
          </w:p>
          <w:p>
            <w:pPr>
              <w:pStyle w:val="ListParagraph"/>
              <w:numPr>
                <w:ilvl w:val="0"/>
                <w:numId w:val="2"/>
              </w:numPr>
              <w:spacing w:after="30" w:before="30"/>
            </w:pPr>
            <w:r>
              <w:rPr>
                <w:rFonts w:ascii="Arial" w:cs="Arial" w:eastAsia="Arial" w:hAnsi="Arial"/>
                <w:b w:val="false"/>
                <w:bCs w:val="false"/>
                <w:color w:val="000000"/>
                <w:sz w:val="19"/>
                <w:szCs w:val="19"/>
              </w:rPr>
              <w:t xml:space="preserve">Experience Cloud portal — 6 pages designed, awaiting Customer Community Plus license</w:t>
            </w:r>
          </w:p>
          <w:p>
            <w:pPr>
              <w:pStyle w:val="ListParagraph"/>
              <w:numPr>
                <w:ilvl w:val="0"/>
                <w:numId w:val="2"/>
              </w:numPr>
              <w:spacing w:after="30" w:before="30"/>
            </w:pPr>
            <w:r>
              <w:rPr>
                <w:rFonts w:ascii="Arial" w:cs="Arial" w:eastAsia="Arial" w:hAnsi="Arial"/>
                <w:b w:val="false"/>
                <w:bCs w:val="false"/>
                <w:color w:val="000000"/>
                <w:sz w:val="19"/>
                <w:szCs w:val="19"/>
              </w:rPr>
              <w:t xml:space="preserve">Orange Money REST API integration — logic built, needs live endpoint</w:t>
            </w:r>
          </w:p>
          <w:p>
            <w:pPr>
              <w:pStyle w:val="ListParagraph"/>
              <w:numPr>
                <w:ilvl w:val="0"/>
                <w:numId w:val="2"/>
              </w:numPr>
              <w:spacing w:after="30" w:before="30"/>
            </w:pPr>
            <w:r>
              <w:rPr>
                <w:rFonts w:ascii="Arial" w:cs="Arial" w:eastAsia="Arial" w:hAnsi="Arial"/>
                <w:b w:val="false"/>
                <w:bCs w:val="false"/>
                <w:color w:val="000000"/>
                <w:sz w:val="19"/>
                <w:szCs w:val="19"/>
              </w:rPr>
              <w:t xml:space="preserve">MTN MoMo REST API integration — logic built, needs live endpoint</w:t>
            </w:r>
          </w:p>
          <w:p>
            <w:pPr>
              <w:pStyle w:val="ListParagraph"/>
              <w:numPr>
                <w:ilvl w:val="0"/>
                <w:numId w:val="2"/>
              </w:numPr>
              <w:spacing w:after="30" w:before="30"/>
            </w:pPr>
            <w:r>
              <w:rPr>
                <w:rFonts w:ascii="Arial" w:cs="Arial" w:eastAsia="Arial" w:hAnsi="Arial"/>
                <w:b w:val="false"/>
                <w:bCs w:val="false"/>
                <w:color w:val="000000"/>
                <w:sz w:val="19"/>
                <w:szCs w:val="19"/>
              </w:rPr>
              <w:t xml:space="preserve">WhatsApp Business API — needs Meta Business verification</w:t>
            </w:r>
          </w:p>
          <w:p>
            <w:pPr>
              <w:pStyle w:val="ListParagraph"/>
              <w:numPr>
                <w:ilvl w:val="0"/>
                <w:numId w:val="2"/>
              </w:numPr>
              <w:spacing w:after="30" w:before="30"/>
            </w:pPr>
            <w:r>
              <w:rPr>
                <w:rFonts w:ascii="Arial" w:cs="Arial" w:eastAsia="Arial" w:hAnsi="Arial"/>
                <w:b w:val="false"/>
                <w:bCs w:val="false"/>
                <w:color w:val="000000"/>
                <w:sz w:val="19"/>
                <w:szCs w:val="19"/>
              </w:rPr>
              <w:t xml:space="preserve">Core Banking System API sync — needs vendor API documentation</w:t>
            </w:r>
          </w:p>
          <w:p>
            <w:pPr>
              <w:pStyle w:val="ListParagraph"/>
              <w:numPr>
                <w:ilvl w:val="0"/>
                <w:numId w:val="2"/>
              </w:numPr>
              <w:spacing w:after="30" w:before="30"/>
            </w:pPr>
            <w:r>
              <w:rPr>
                <w:rFonts w:ascii="Arial" w:cs="Arial" w:eastAsia="Arial" w:hAnsi="Arial"/>
                <w:b w:val="false"/>
                <w:bCs w:val="false"/>
                <w:color w:val="000000"/>
                <w:sz w:val="19"/>
                <w:szCs w:val="19"/>
              </w:rPr>
              <w:t xml:space="preserve">Salesforce Mobile Plus (offline Briefcase) — requires paid license</w:t>
            </w:r>
          </w:p>
          <w:p>
            <w:pPr>
              <w:pStyle w:val="ListParagraph"/>
              <w:numPr>
                <w:ilvl w:val="0"/>
                <w:numId w:val="2"/>
              </w:numPr>
              <w:spacing w:after="30" w:before="30"/>
            </w:pPr>
            <w:r>
              <w:rPr>
                <w:rFonts w:ascii="Arial" w:cs="Arial" w:eastAsia="Arial" w:hAnsi="Arial"/>
                <w:b w:val="false"/>
                <w:bCs w:val="false"/>
                <w:color w:val="000000"/>
                <w:sz w:val="19"/>
                <w:szCs w:val="19"/>
              </w:rPr>
              <w:t xml:space="preserve">SMS OTP authentication — requires Salesforce Identity license</w:t>
            </w:r>
          </w:p>
          <w:p>
            <w:pPr>
              <w:pStyle w:val="ListParagraph"/>
              <w:numPr>
                <w:ilvl w:val="0"/>
                <w:numId w:val="2"/>
              </w:numPr>
              <w:spacing w:after="30" w:before="30"/>
            </w:pPr>
            <w:r>
              <w:rPr>
                <w:rFonts w:ascii="Arial" w:cs="Arial" w:eastAsia="Arial" w:hAnsi="Arial"/>
                <w:b w:val="false"/>
                <w:bCs w:val="false"/>
                <w:color w:val="000000"/>
                <w:sz w:val="19"/>
                <w:szCs w:val="19"/>
              </w:rPr>
              <w:t xml:space="preserve">Geolocation capture for field agents</w:t>
            </w:r>
          </w:p>
          <w:p>
            <w:pPr>
              <w:pStyle w:val="ListParagraph"/>
              <w:numPr>
                <w:ilvl w:val="0"/>
                <w:numId w:val="2"/>
              </w:numPr>
              <w:spacing w:after="30" w:before="30"/>
            </w:pPr>
            <w:r>
              <w:rPr>
                <w:rFonts w:ascii="Arial" w:cs="Arial" w:eastAsia="Arial" w:hAnsi="Arial"/>
                <w:b w:val="false"/>
                <w:bCs w:val="false"/>
                <w:color w:val="000000"/>
                <w:sz w:val="19"/>
                <w:szCs w:val="19"/>
              </w:rPr>
              <w:t xml:space="preserve">AI-powered risk prediction (Agentforce — 1 seat available)</w:t>
            </w:r>
          </w:p>
          <w:p>
            <w:pPr>
              <w:pStyle w:val="ListParagraph"/>
              <w:numPr>
                <w:ilvl w:val="0"/>
                <w:numId w:val="2"/>
              </w:numPr>
              <w:spacing w:after="30" w:before="30"/>
            </w:pPr>
            <w:r>
              <w:rPr>
                <w:rFonts w:ascii="Arial" w:cs="Arial" w:eastAsia="Arial" w:hAnsi="Arial"/>
                <w:b w:val="false"/>
                <w:bCs w:val="false"/>
                <w:color w:val="000000"/>
                <w:sz w:val="19"/>
                <w:szCs w:val="19"/>
              </w:rPr>
              <w:t xml:space="preserve">Full 17-role user activation (currently 5 of 17 roles have active users)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3C" w:val="clear"/>
            <w:tcMar>
              <w:top w:type="dxa" w:w="400"/>
              <w:left w:type="dxa" w:w="400"/>
              <w:bottom w:type="dxa" w:w="400"/>
              <w:right w:type="dxa" w:w="400"/>
            </w:tcMar>
          </w:tcPr>
          <w:p>
            <w:pPr>
              <w:spacing w:after="80" w:before="0"/>
              <w:jc w:val="center"/>
            </w:pPr>
            <w:r>
              <w:rPr>
                <w:rFonts w:ascii="Arial" w:cs="Arial" w:eastAsia="Arial" w:hAnsi="Arial"/>
                <w:b/>
                <w:bCs/>
                <w:color w:val="FFFFFF"/>
                <w:sz w:val="36"/>
                <w:szCs w:val="36"/>
              </w:rPr>
              <w:t xml:space="preserve">CoreFinance360 — Complete</w:t>
            </w:r>
          </w:p>
          <w:p>
            <w:pPr>
              <w:spacing w:after="80" w:before="0"/>
              <w:jc w:val="center"/>
            </w:pPr>
            <w:r>
              <w:rPr>
                <w:rFonts w:ascii="Arial" w:cs="Arial" w:eastAsia="Arial" w:hAnsi="Arial"/>
                <w:color w:val="AAAAAA"/>
                <w:sz w:val="18"/>
                <w:szCs w:val="18"/>
              </w:rPr>
              <w:t xml:space="preserve">7 Layers  ·  12 Objects  ·  27+ Flows  ·  8 Validation Rules  ·  3 Approval Processes  ·  10 Currencies  ·  17 Roles</w:t>
            </w:r>
          </w:p>
          <w:p>
            <w:pPr>
              <w:spacing w:after="0" w:before="0"/>
              <w:jc w:val="center"/>
            </w:pPr>
            <w:r>
              <w:rPr>
                <w:rFonts w:ascii="Arial" w:cs="Arial" w:eastAsia="Arial" w:hAnsi="Arial"/>
                <w:color w:val="666666"/>
                <w:sz w:val="16"/>
                <w:szCs w:val="16"/>
              </w:rPr>
              <w:t xml:space="preserve">Built by Therence Ngoa  ·  May 2026  ·  Salesforce Developer Edition  ·  Org ID: 00DNS00000r86g1</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2026-05-28T14:57:18.850Z</dcterms:created>
  <dcterms:modified xsi:type="dcterms:W3CDTF">2026-05-28T14:57:18.864Z</dcterms:modified>
</cp:coreProperties>
</file>

<file path=docProps/custom.xml><?xml version="1.0" encoding="utf-8"?>
<Properties xmlns="http://schemas.openxmlformats.org/officeDocument/2006/custom-properties" xmlns:vt="http://schemas.openxmlformats.org/officeDocument/2006/docPropsVTypes"/>
</file>