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F3C" w:val="clear"/>
            <w:tcMar>
              <w:top w:type="dxa" w:w="600"/>
              <w:left w:type="dxa" w:w="400"/>
              <w:bottom w:type="dxa" w:w="600"/>
              <w:right w:type="dxa" w:w="400"/>
            </w:tcMar>
          </w:tcPr>
          <w:p>
            <w:pPr>
              <w:spacing w:after="60" w:before="0"/>
              <w:jc w:val="center"/>
            </w:pPr>
            <w:r>
              <w:rPr>
                <w:rFonts w:ascii="Arial" w:cs="Arial" w:eastAsia="Arial" w:hAnsi="Arial"/>
                <w:b/>
                <w:bCs/>
                <w:color w:val="FFFFFF"/>
                <w:sz w:val="72"/>
                <w:szCs w:val="72"/>
              </w:rPr>
              <w:t xml:space="preserve">CoreFinance360</w:t>
            </w:r>
          </w:p>
          <w:p>
            <w:pPr>
              <w:spacing w:after="60" w:before="0"/>
              <w:jc w:val="center"/>
            </w:pPr>
            <w:r>
              <w:rPr>
                <w:rFonts w:ascii="Arial" w:cs="Arial" w:eastAsia="Arial" w:hAnsi="Arial"/>
                <w:b/>
                <w:bCs/>
                <w:color w:val="60A5FA"/>
                <w:sz w:val="44"/>
                <w:szCs w:val="44"/>
              </w:rPr>
              <w:t xml:space="preserve">CF360</w:t>
            </w:r>
          </w:p>
          <w:p>
            <w:pPr>
              <w:spacing w:after="100" w:before="0"/>
              <w:jc w:val="center"/>
            </w:pPr>
            <w:r>
              <w:rPr>
                <w:rFonts w:ascii="Arial" w:cs="Arial" w:eastAsia="Arial" w:hAnsi="Arial"/>
                <w:b/>
                <w:bCs/>
                <w:color w:val="E0E8FF"/>
                <w:sz w:val="32"/>
                <w:szCs w:val="32"/>
              </w:rPr>
              <w:t xml:space="preserve">Résumé Complet du Projet</w:t>
            </w:r>
          </w:p>
          <w:p>
            <w:pPr>
              <w:spacing w:after="60" w:before="0"/>
              <w:jc w:val="center"/>
            </w:pPr>
            <w:r>
              <w:rPr>
                <w:rFonts w:ascii="Arial" w:cs="Arial" w:eastAsia="Arial" w:hAnsi="Arial"/>
                <w:i/>
                <w:iCs/>
                <w:color w:val="AAAAAA"/>
                <w:sz w:val="20"/>
                <w:szCs w:val="20"/>
              </w:rPr>
              <w:t xml:space="preserve">Référence Complète — Composants, Couches, Flux, Règles &amp; Architecture</w:t>
            </w:r>
          </w:p>
          <w:p>
            <w:pPr>
              <w:spacing w:after="0" w:before="120"/>
              <w:jc w:val="center"/>
            </w:pPr>
            <w:r>
              <w:rPr>
                <w:rFonts w:ascii="Arial" w:cs="Arial" w:eastAsia="Arial" w:hAnsi="Arial"/>
                <w:color w:val="666666"/>
                <w:sz w:val="17"/>
                <w:szCs w:val="17"/>
              </w:rPr>
              <w:t xml:space="preserve">Construit par Therence Ngoa  ·  Mai 2026  ·  Salesforce Developer Edition  ·  Plateforme Bancaire BCEAO/CEMAC</w:t>
            </w:r>
          </w:p>
        </w:tc>
      </w:tr>
    </w:tbl>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1A56DB" w:sz="1"/>
              <w:left w:val="single" w:color="1A56DB" w:sz="1"/>
              <w:bottom w:val="single" w:color="1A56DB" w:sz="1"/>
              <w:right w:val="single" w:color="1A56DB" w:sz="1"/>
            </w:tcBorders>
            <w:shd w:fill="EBF2FF" w:val="clear"/>
            <w:tcMar>
              <w:top w:type="dxa" w:w="100"/>
              <w:left w:type="dxa" w:w="60"/>
              <w:bottom w:type="dxa" w:w="100"/>
              <w:right w:type="dxa" w:w="60"/>
            </w:tcMar>
          </w:tcPr>
          <w:p>
            <w:pPr>
              <w:spacing w:after="20" w:before="0"/>
              <w:jc w:val="center"/>
            </w:pPr>
            <w:r>
              <w:rPr>
                <w:rFonts w:ascii="Arial" w:cs="Arial" w:eastAsia="Arial" w:hAnsi="Arial"/>
                <w:b/>
                <w:bCs/>
                <w:color w:val="1A56DB"/>
                <w:sz w:val="32"/>
                <w:szCs w:val="32"/>
              </w:rPr>
              <w:t xml:space="preserve">12</w:t>
            </w:r>
          </w:p>
          <w:p>
            <w:pPr>
              <w:spacing w:after="0" w:before="0"/>
              <w:jc w:val="center"/>
            </w:pPr>
            <w:r>
              <w:rPr>
                <w:rFonts w:ascii="Arial" w:cs="Arial" w:eastAsia="Arial" w:hAnsi="Arial"/>
                <w:color w:val="64748B"/>
                <w:sz w:val="16"/>
                <w:szCs w:val="16"/>
              </w:rPr>
              <w:t xml:space="preserve">Objets</w:t>
            </w:r>
          </w:p>
        </w:tc>
        <w:tc>
          <w:tcPr>
            <w:tcW w:type="dxa" w:w="1560"/>
            <w:tcBorders>
              <w:top w:val="single" w:color="1A56DB" w:sz="1"/>
              <w:left w:val="single" w:color="1A56DB" w:sz="1"/>
              <w:bottom w:val="single" w:color="1A56DB" w:sz="1"/>
              <w:right w:val="single" w:color="1A56DB" w:sz="1"/>
            </w:tcBorders>
            <w:shd w:fill="EBF2FF" w:val="clear"/>
            <w:tcMar>
              <w:top w:type="dxa" w:w="100"/>
              <w:left w:type="dxa" w:w="60"/>
              <w:bottom w:type="dxa" w:w="100"/>
              <w:right w:type="dxa" w:w="60"/>
            </w:tcMar>
          </w:tcPr>
          <w:p>
            <w:pPr>
              <w:spacing w:after="20" w:before="0"/>
              <w:jc w:val="center"/>
            </w:pPr>
            <w:r>
              <w:rPr>
                <w:rFonts w:ascii="Arial" w:cs="Arial" w:eastAsia="Arial" w:hAnsi="Arial"/>
                <w:b/>
                <w:bCs/>
                <w:color w:val="1A56DB"/>
                <w:sz w:val="32"/>
                <w:szCs w:val="32"/>
              </w:rPr>
              <w:t xml:space="preserve">27+</w:t>
            </w:r>
          </w:p>
          <w:p>
            <w:pPr>
              <w:spacing w:after="0" w:before="0"/>
              <w:jc w:val="center"/>
            </w:pPr>
            <w:r>
              <w:rPr>
                <w:rFonts w:ascii="Arial" w:cs="Arial" w:eastAsia="Arial" w:hAnsi="Arial"/>
                <w:color w:val="64748B"/>
                <w:sz w:val="16"/>
                <w:szCs w:val="16"/>
              </w:rPr>
              <w:t xml:space="preserve">Flux Auto</w:t>
            </w:r>
          </w:p>
        </w:tc>
        <w:tc>
          <w:tcPr>
            <w:tcW w:type="dxa" w:w="1560"/>
            <w:tcBorders>
              <w:top w:val="single" w:color="1A56DB" w:sz="1"/>
              <w:left w:val="single" w:color="1A56DB" w:sz="1"/>
              <w:bottom w:val="single" w:color="1A56DB" w:sz="1"/>
              <w:right w:val="single" w:color="1A56DB" w:sz="1"/>
            </w:tcBorders>
            <w:shd w:fill="EBF2FF" w:val="clear"/>
            <w:tcMar>
              <w:top w:type="dxa" w:w="100"/>
              <w:left w:type="dxa" w:w="60"/>
              <w:bottom w:type="dxa" w:w="100"/>
              <w:right w:type="dxa" w:w="60"/>
            </w:tcMar>
          </w:tcPr>
          <w:p>
            <w:pPr>
              <w:spacing w:after="20" w:before="0"/>
              <w:jc w:val="center"/>
            </w:pPr>
            <w:r>
              <w:rPr>
                <w:rFonts w:ascii="Arial" w:cs="Arial" w:eastAsia="Arial" w:hAnsi="Arial"/>
                <w:b/>
                <w:bCs/>
                <w:color w:val="1A56DB"/>
                <w:sz w:val="32"/>
                <w:szCs w:val="32"/>
              </w:rPr>
              <w:t xml:space="preserve">10</w:t>
            </w:r>
          </w:p>
          <w:p>
            <w:pPr>
              <w:spacing w:after="0" w:before="0"/>
              <w:jc w:val="center"/>
            </w:pPr>
            <w:r>
              <w:rPr>
                <w:rFonts w:ascii="Arial" w:cs="Arial" w:eastAsia="Arial" w:hAnsi="Arial"/>
                <w:color w:val="64748B"/>
                <w:sz w:val="16"/>
                <w:szCs w:val="16"/>
              </w:rPr>
              <w:t xml:space="preserve">Devises</w:t>
            </w:r>
          </w:p>
        </w:tc>
        <w:tc>
          <w:tcPr>
            <w:tcW w:type="dxa" w:w="1560"/>
            <w:tcBorders>
              <w:top w:val="single" w:color="1A56DB" w:sz="1"/>
              <w:left w:val="single" w:color="1A56DB" w:sz="1"/>
              <w:bottom w:val="single" w:color="1A56DB" w:sz="1"/>
              <w:right w:val="single" w:color="1A56DB" w:sz="1"/>
            </w:tcBorders>
            <w:shd w:fill="EBF2FF" w:val="clear"/>
            <w:tcMar>
              <w:top w:type="dxa" w:w="100"/>
              <w:left w:type="dxa" w:w="60"/>
              <w:bottom w:type="dxa" w:w="100"/>
              <w:right w:type="dxa" w:w="60"/>
            </w:tcMar>
          </w:tcPr>
          <w:p>
            <w:pPr>
              <w:spacing w:after="20" w:before="0"/>
              <w:jc w:val="center"/>
            </w:pPr>
            <w:r>
              <w:rPr>
                <w:rFonts w:ascii="Arial" w:cs="Arial" w:eastAsia="Arial" w:hAnsi="Arial"/>
                <w:b/>
                <w:bCs/>
                <w:color w:val="1A56DB"/>
                <w:sz w:val="32"/>
                <w:szCs w:val="32"/>
              </w:rPr>
              <w:t xml:space="preserve">17</w:t>
            </w:r>
          </w:p>
          <w:p>
            <w:pPr>
              <w:spacing w:after="0" w:before="0"/>
              <w:jc w:val="center"/>
            </w:pPr>
            <w:r>
              <w:rPr>
                <w:rFonts w:ascii="Arial" w:cs="Arial" w:eastAsia="Arial" w:hAnsi="Arial"/>
                <w:color w:val="64748B"/>
                <w:sz w:val="16"/>
                <w:szCs w:val="16"/>
              </w:rPr>
              <w:t xml:space="preserve">Rôles</w:t>
            </w:r>
          </w:p>
        </w:tc>
        <w:tc>
          <w:tcPr>
            <w:tcW w:type="dxa" w:w="1560"/>
            <w:tcBorders>
              <w:top w:val="single" w:color="1A56DB" w:sz="1"/>
              <w:left w:val="single" w:color="1A56DB" w:sz="1"/>
              <w:bottom w:val="single" w:color="1A56DB" w:sz="1"/>
              <w:right w:val="single" w:color="1A56DB" w:sz="1"/>
            </w:tcBorders>
            <w:shd w:fill="EBF2FF" w:val="clear"/>
            <w:tcMar>
              <w:top w:type="dxa" w:w="100"/>
              <w:left w:type="dxa" w:w="60"/>
              <w:bottom w:type="dxa" w:w="100"/>
              <w:right w:type="dxa" w:w="60"/>
            </w:tcMar>
          </w:tcPr>
          <w:p>
            <w:pPr>
              <w:spacing w:after="20" w:before="0"/>
              <w:jc w:val="center"/>
            </w:pPr>
            <w:r>
              <w:rPr>
                <w:rFonts w:ascii="Arial" w:cs="Arial" w:eastAsia="Arial" w:hAnsi="Arial"/>
                <w:b/>
                <w:bCs/>
                <w:color w:val="1A56DB"/>
                <w:sz w:val="32"/>
                <w:szCs w:val="32"/>
              </w:rPr>
              <w:t xml:space="preserve">3</w:t>
            </w:r>
          </w:p>
          <w:p>
            <w:pPr>
              <w:spacing w:after="0" w:before="0"/>
              <w:jc w:val="center"/>
            </w:pPr>
            <w:r>
              <w:rPr>
                <w:rFonts w:ascii="Arial" w:cs="Arial" w:eastAsia="Arial" w:hAnsi="Arial"/>
                <w:color w:val="64748B"/>
                <w:sz w:val="16"/>
                <w:szCs w:val="16"/>
              </w:rPr>
              <w:t xml:space="preserve">Niveaux Approbation</w:t>
            </w:r>
          </w:p>
        </w:tc>
        <w:tc>
          <w:tcPr>
            <w:tcW w:type="dxa" w:w="1560"/>
            <w:tcBorders>
              <w:top w:val="single" w:color="1A56DB" w:sz="1"/>
              <w:left w:val="single" w:color="1A56DB" w:sz="1"/>
              <w:bottom w:val="single" w:color="1A56DB" w:sz="1"/>
              <w:right w:val="single" w:color="1A56DB" w:sz="1"/>
            </w:tcBorders>
            <w:shd w:fill="EBF2FF" w:val="clear"/>
            <w:tcMar>
              <w:top w:type="dxa" w:w="100"/>
              <w:left w:type="dxa" w:w="60"/>
              <w:bottom w:type="dxa" w:w="100"/>
              <w:right w:type="dxa" w:w="60"/>
            </w:tcMar>
          </w:tcPr>
          <w:p>
            <w:pPr>
              <w:spacing w:after="20" w:before="0"/>
              <w:jc w:val="center"/>
            </w:pPr>
            <w:r>
              <w:rPr>
                <w:rFonts w:ascii="Arial" w:cs="Arial" w:eastAsia="Arial" w:hAnsi="Arial"/>
                <w:b/>
                <w:bCs/>
                <w:color w:val="1A56DB"/>
                <w:sz w:val="32"/>
                <w:szCs w:val="32"/>
              </w:rPr>
              <w:t xml:space="preserve">7</w:t>
            </w:r>
          </w:p>
          <w:p>
            <w:pPr>
              <w:spacing w:after="0" w:before="0"/>
              <w:jc w:val="center"/>
            </w:pPr>
            <w:r>
              <w:rPr>
                <w:rFonts w:ascii="Arial" w:cs="Arial" w:eastAsia="Arial" w:hAnsi="Arial"/>
                <w:color w:val="64748B"/>
                <w:sz w:val="16"/>
                <w:szCs w:val="16"/>
              </w:rPr>
              <w:t xml:space="preserve">Couches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F3C" w:val="clear"/>
            <w:tcMar>
              <w:top w:type="dxa" w:w="160"/>
              <w:left w:type="dxa" w:w="260"/>
              <w:bottom w:type="dxa" w:w="160"/>
              <w:right w:type="dxa" w:w="260"/>
            </w:tcMar>
          </w:tcPr>
          <w:p>
            <w:pPr>
              <w:spacing w:after="40" w:before="0"/>
            </w:pPr>
            <w:r>
              <w:rPr>
                <w:rFonts w:ascii="Arial" w:cs="Arial" w:eastAsia="Arial" w:hAnsi="Arial"/>
                <w:b/>
                <w:bCs/>
                <w:color w:val="FFFFFF"/>
                <w:sz w:val="30"/>
                <w:szCs w:val="30"/>
              </w:rPr>
              <w:t xml:space="preserve">SECTION 1 — APERÇU DU PROJET</w:t>
            </w:r>
          </w:p>
          <w:p>
            <w:pPr>
              <w:spacing w:after="0" w:before="0"/>
            </w:pPr>
            <w:r>
              <w:rPr>
                <w:rFonts w:ascii="Arial" w:cs="Arial" w:eastAsia="Arial" w:hAnsi="Arial"/>
                <w:color w:val="CCCCCC"/>
                <w:sz w:val="18"/>
                <w:szCs w:val="18"/>
              </w:rPr>
              <w:t xml:space="preserve">Ce qu'est CF360, pourquoi il a été construit et ce qu'il accomplit</w:t>
            </w:r>
          </w:p>
        </w:tc>
      </w:tr>
    </w:tbl>
    <w:p>
      <w:pPr>
        <w:spacing w:after="60" w:before="120"/>
      </w:pPr>
      <w:r>
        <w:t xml:space="preserve"/>
      </w:r>
    </w:p>
    <w:p>
      <w:pPr>
        <w:spacing w:after="80" w:before="0"/>
        <w:jc w:val="left"/>
      </w:pPr>
      <w:r>
        <w:rPr>
          <w:rFonts w:ascii="Arial" w:cs="Arial" w:eastAsia="Arial" w:hAnsi="Arial"/>
          <w:b/>
          <w:bCs/>
          <w:i w:val="false"/>
          <w:iCs w:val="false"/>
          <w:color w:val="0D1F3C"/>
          <w:sz w:val="24"/>
          <w:szCs w:val="24"/>
        </w:rPr>
        <w:t xml:space="preserve">Qu'est-ce que CoreFinance360 ?</w:t>
      </w:r>
    </w:p>
    <w:p>
      <w:pPr>
        <w:spacing w:after="60" w:before="0"/>
        <w:jc w:val="left"/>
      </w:pPr>
      <w:r>
        <w:rPr>
          <w:rFonts w:ascii="Arial" w:cs="Arial" w:eastAsia="Arial" w:hAnsi="Arial"/>
          <w:b w:val="false"/>
          <w:bCs w:val="false"/>
          <w:i w:val="false"/>
          <w:iCs w:val="false"/>
          <w:color w:val="000000"/>
          <w:sz w:val="19"/>
          <w:szCs w:val="19"/>
        </w:rPr>
        <w:t xml:space="preserve">CoreFinance360 (CF360) est une plateforme complète de gestion du crédit numérique de niveau entreprise, construite entièrement sur Salesforce avec des outils déclaratifs — sans code Apex. Elle est conçue pour simuler la façon dont une banque africaine moderne ou une institution de microfinance gère le cycle de vie complet du crédit, depuis le premier entretien avec l'emprunteur jusqu'au montage, l'approbation multi-niveaux, le décaissement et le suivi continu du portefeuille.</w:t>
      </w:r>
    </w:p>
    <w:p>
      <w:pPr>
        <w:spacing w:after="60" w:before="0"/>
        <w:jc w:val="left"/>
      </w:pPr>
      <w:r>
        <w:rPr>
          <w:rFonts w:ascii="Arial" w:cs="Arial" w:eastAsia="Arial" w:hAnsi="Arial"/>
          <w:b w:val="false"/>
          <w:bCs w:val="false"/>
          <w:i w:val="false"/>
          <w:iCs w:val="false"/>
          <w:color w:val="000000"/>
          <w:sz w:val="19"/>
          <w:szCs w:val="19"/>
        </w:rPr>
        <w:t xml:space="preserve">La plateforme est construite selon les principes de conception nCino — en utilisant un objet central de deal (le Dossier de Financement), des workflows à étapes verrouillées, un accès basé sur les rôles et un routage d'approbation multi-niveaux — mais il s'agit d'une construction originale spécifiquement étendue pour répondre aux réalités bancaires africaines que les plateformes traditionnelles ne servent pas bien.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3"/>
              <w:left w:val="single" w:color="1A56DB" w:sz="3"/>
              <w:bottom w:val="single" w:color="1A56DB" w:sz="1"/>
              <w:right w:val="single" w:color="1A56DB" w:sz="1"/>
            </w:tcBorders>
            <w:shd w:fill="EBF2FF" w:val="clear"/>
            <w:tcMar>
              <w:top w:type="dxa" w:w="120"/>
              <w:left w:type="dxa" w:w="200"/>
              <w:bottom w:type="dxa" w:w="120"/>
              <w:right w:type="dxa" w:w="200"/>
            </w:tcMar>
          </w:tcPr>
          <w:p>
            <w:pPr>
              <w:spacing w:after="60" w:before="0"/>
              <w:jc w:val="left"/>
            </w:pPr>
            <w:r>
              <w:rPr>
                <w:rFonts w:ascii="Arial" w:cs="Arial" w:eastAsia="Arial" w:hAnsi="Arial"/>
                <w:b/>
                <w:bCs/>
                <w:i w:val="false"/>
                <w:iCs w:val="false"/>
                <w:color w:val="1A56DB"/>
                <w:sz w:val="19"/>
                <w:szCs w:val="19"/>
              </w:rPr>
              <w:t xml:space="preserve">Pourquoi CF360 a été Construit</w:t>
            </w:r>
          </w:p>
          <w:p>
            <w:pPr>
              <w:pStyle w:val="ListParagraph"/>
              <w:numPr>
                <w:ilvl w:val="0"/>
                <w:numId w:val="2"/>
              </w:numPr>
              <w:spacing w:after="30" w:before="30"/>
            </w:pPr>
            <w:r>
              <w:rPr>
                <w:rFonts w:ascii="Arial" w:cs="Arial" w:eastAsia="Arial" w:hAnsi="Arial"/>
                <w:b w:val="false"/>
                <w:bCs w:val="false"/>
                <w:color w:val="000000"/>
                <w:sz w:val="19"/>
                <w:szCs w:val="19"/>
              </w:rPr>
              <w:t xml:space="preserve">De nombreuses institutions de crédit africaines dépendent encore de processus manuels, fragmentés ou basés sur le papier</w:t>
            </w:r>
          </w:p>
          <w:p>
            <w:pPr>
              <w:pStyle w:val="ListParagraph"/>
              <w:numPr>
                <w:ilvl w:val="0"/>
                <w:numId w:val="2"/>
              </w:numPr>
              <w:spacing w:after="30" w:before="30"/>
            </w:pPr>
            <w:r>
              <w:rPr>
                <w:rFonts w:ascii="Arial" w:cs="Arial" w:eastAsia="Arial" w:hAnsi="Arial"/>
                <w:b w:val="false"/>
                <w:bCs w:val="false"/>
                <w:color w:val="000000"/>
                <w:sz w:val="19"/>
                <w:szCs w:val="19"/>
              </w:rPr>
              <w:t xml:space="preserve">Une grande partie de la population emprunteuse n'a pas d'historique bancaire formel ni de dossier de crédit</w:t>
            </w:r>
          </w:p>
          <w:p>
            <w:pPr>
              <w:pStyle w:val="ListParagraph"/>
              <w:numPr>
                <w:ilvl w:val="0"/>
                <w:numId w:val="2"/>
              </w:numPr>
              <w:spacing w:after="30" w:before="30"/>
            </w:pPr>
            <w:r>
              <w:rPr>
                <w:rFonts w:ascii="Arial" w:cs="Arial" w:eastAsia="Arial" w:hAnsi="Arial"/>
                <w:b w:val="false"/>
                <w:bCs w:val="false"/>
                <w:color w:val="000000"/>
                <w:sz w:val="19"/>
                <w:szCs w:val="19"/>
              </w:rPr>
              <w:t xml:space="preserve">Le mobile money est la principale infrastructure financière pour des millions d'emprunteurs</w:t>
            </w:r>
          </w:p>
          <w:p>
            <w:pPr>
              <w:pStyle w:val="ListParagraph"/>
              <w:numPr>
                <w:ilvl w:val="0"/>
                <w:numId w:val="2"/>
              </w:numPr>
              <w:spacing w:after="30" w:before="30"/>
            </w:pPr>
            <w:r>
              <w:rPr>
                <w:rFonts w:ascii="Arial" w:cs="Arial" w:eastAsia="Arial" w:hAnsi="Arial"/>
                <w:b w:val="false"/>
                <w:bCs w:val="false"/>
                <w:color w:val="000000"/>
                <w:sz w:val="19"/>
                <w:szCs w:val="19"/>
              </w:rPr>
              <w:t xml:space="preserve">Les structures de crédit de groupe — tontines, coopératives, groupes solidaires — sont très répandues</w:t>
            </w:r>
          </w:p>
          <w:p>
            <w:pPr>
              <w:pStyle w:val="ListParagraph"/>
              <w:numPr>
                <w:ilvl w:val="0"/>
                <w:numId w:val="2"/>
              </w:numPr>
              <w:spacing w:after="30" w:before="30"/>
            </w:pPr>
            <w:r>
              <w:rPr>
                <w:rFonts w:ascii="Arial" w:cs="Arial" w:eastAsia="Arial" w:hAnsi="Arial"/>
                <w:b w:val="false"/>
                <w:bCs w:val="false"/>
                <w:color w:val="000000"/>
                <w:sz w:val="19"/>
                <w:szCs w:val="19"/>
              </w:rPr>
              <w:t xml:space="preserve">Les environnements multi-devises couvrant BCEAO, CEMAC et les marchés africains anglophones nécessitent une architecture flexible</w:t>
            </w:r>
          </w:p>
          <w:p>
            <w:pPr>
              <w:pStyle w:val="ListParagraph"/>
              <w:numPr>
                <w:ilvl w:val="0"/>
                <w:numId w:val="2"/>
              </w:numPr>
              <w:spacing w:after="30" w:before="30"/>
            </w:pPr>
            <w:r>
              <w:rPr>
                <w:rFonts w:ascii="Arial" w:cs="Arial" w:eastAsia="Arial" w:hAnsi="Arial"/>
                <w:b w:val="false"/>
                <w:bCs w:val="false"/>
                <w:color w:val="000000"/>
                <w:sz w:val="19"/>
                <w:szCs w:val="19"/>
              </w:rPr>
              <w:t xml:space="preserve">La conformité réglementaire (LBC/FT BCEAO/CEMAC, reporting des covenants, limites d'exposition) nécessite une application systématique</w:t>
            </w:r>
          </w:p>
        </w:tc>
      </w:tr>
    </w:tbl>
    <w:p>
      <w:pPr>
        <w:spacing w:after="60" w:before="100"/>
      </w:pPr>
      <w:r>
        <w:t xml:space="preserve"/>
      </w:r>
    </w:p>
    <w:p>
      <w:pPr>
        <w:spacing w:after="60" w:before="0"/>
        <w:jc w:val="left"/>
      </w:pPr>
      <w:r>
        <w:rPr>
          <w:rFonts w:ascii="Arial" w:cs="Arial" w:eastAsia="Arial" w:hAnsi="Arial"/>
          <w:b/>
          <w:bCs/>
          <w:i w:val="false"/>
          <w:iCs w:val="false"/>
          <w:color w:val="0D1F3C"/>
          <w:sz w:val="22"/>
          <w:szCs w:val="22"/>
        </w:rPr>
        <w:t xml:space="preserve">Périmètre de la Plateforme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4532D" w:sz="1"/>
              <w:left w:val="single" w:color="14532D" w:sz="1"/>
              <w:bottom w:val="single" w:color="14532D" w:sz="1"/>
              <w:right w:val="single" w:color="14532D" w:sz="1"/>
            </w:tcBorders>
            <w:shd w:fill="DCFCE7" w:val="clear"/>
            <w:tcMar>
              <w:top w:type="dxa" w:w="120"/>
              <w:left w:type="dxa" w:w="160"/>
              <w:bottom w:type="dxa" w:w="120"/>
              <w:right w:type="dxa" w:w="160"/>
            </w:tcMar>
          </w:tcPr>
          <w:p>
            <w:pPr>
              <w:spacing w:after="40" w:before="0"/>
              <w:jc w:val="left"/>
            </w:pPr>
            <w:r>
              <w:rPr>
                <w:rFonts w:ascii="Arial" w:cs="Arial" w:eastAsia="Arial" w:hAnsi="Arial"/>
                <w:b/>
                <w:bCs/>
                <w:i w:val="false"/>
                <w:iCs w:val="false"/>
                <w:color w:val="14532D"/>
                <w:sz w:val="18"/>
                <w:szCs w:val="18"/>
              </w:rPr>
              <w:t xml:space="preserve">Type de Plateforme</w:t>
            </w:r>
          </w:p>
          <w:p>
            <w:pPr>
              <w:pStyle w:val="ListParagraph"/>
              <w:numPr>
                <w:ilvl w:val="0"/>
                <w:numId w:val="2"/>
              </w:numPr>
              <w:spacing w:after="30" w:before="30"/>
            </w:pPr>
            <w:r>
              <w:rPr>
                <w:rFonts w:ascii="Arial" w:cs="Arial" w:eastAsia="Arial" w:hAnsi="Arial"/>
                <w:b w:val="false"/>
                <w:bCs w:val="false"/>
                <w:color w:val="000000"/>
                <w:sz w:val="19"/>
                <w:szCs w:val="19"/>
              </w:rPr>
              <w:t xml:space="preserve">Système de Gestion du Crédit Entreprise</w:t>
            </w:r>
          </w:p>
          <w:p>
            <w:pPr>
              <w:pStyle w:val="ListParagraph"/>
              <w:numPr>
                <w:ilvl w:val="0"/>
                <w:numId w:val="2"/>
              </w:numPr>
              <w:spacing w:after="30" w:before="30"/>
            </w:pPr>
            <w:r>
              <w:rPr>
                <w:rFonts w:ascii="Arial" w:cs="Arial" w:eastAsia="Arial" w:hAnsi="Arial"/>
                <w:b w:val="false"/>
                <w:bCs w:val="false"/>
                <w:color w:val="000000"/>
                <w:sz w:val="19"/>
                <w:szCs w:val="19"/>
              </w:rPr>
              <w:t xml:space="preserve">Salesforce Developer Edition — Déclaratif Uniquement</w:t>
            </w:r>
          </w:p>
          <w:p>
            <w:pPr>
              <w:pStyle w:val="ListParagraph"/>
              <w:numPr>
                <w:ilvl w:val="0"/>
                <w:numId w:val="2"/>
              </w:numPr>
              <w:spacing w:after="30" w:before="30"/>
            </w:pPr>
            <w:r>
              <w:rPr>
                <w:rFonts w:ascii="Arial" w:cs="Arial" w:eastAsia="Arial" w:hAnsi="Arial"/>
                <w:b w:val="false"/>
                <w:bCs w:val="false"/>
                <w:color w:val="000000"/>
                <w:sz w:val="19"/>
                <w:szCs w:val="19"/>
              </w:rPr>
              <w:t xml:space="preserve">Aucun code Apex — construction 100% clicks</w:t>
            </w:r>
          </w:p>
          <w:p>
            <w:pPr>
              <w:pStyle w:val="ListParagraph"/>
              <w:numPr>
                <w:ilvl w:val="0"/>
                <w:numId w:val="2"/>
              </w:numPr>
              <w:spacing w:after="30" w:before="30"/>
            </w:pPr>
            <w:r>
              <w:rPr>
                <w:rFonts w:ascii="Arial" w:cs="Arial" w:eastAsia="Arial" w:hAnsi="Arial"/>
                <w:b w:val="false"/>
                <w:bCs w:val="false"/>
                <w:color w:val="000000"/>
                <w:sz w:val="19"/>
                <w:szCs w:val="19"/>
              </w:rPr>
              <w:t xml:space="preserve">Architecture inspirée de nCino</w:t>
            </w:r>
          </w:p>
        </w:tc>
        <w:tc>
          <w:tcPr>
            <w:tcW w:type="dxa" w:w="4680"/>
            <w:tcBorders>
              <w:top w:val="single" w:color="C8920A" w:sz="1"/>
              <w:left w:val="single" w:color="C8920A" w:sz="1"/>
              <w:bottom w:val="single" w:color="C8920A" w:sz="1"/>
              <w:right w:val="single" w:color="C8920A" w:sz="1"/>
            </w:tcBorders>
            <w:shd w:fill="FFF8E6" w:val="clear"/>
            <w:tcMar>
              <w:top w:type="dxa" w:w="120"/>
              <w:left w:type="dxa" w:w="160"/>
              <w:bottom w:type="dxa" w:w="120"/>
              <w:right w:type="dxa" w:w="160"/>
            </w:tcMar>
          </w:tcPr>
          <w:p>
            <w:pPr>
              <w:spacing w:after="40" w:before="0"/>
              <w:jc w:val="left"/>
            </w:pPr>
            <w:r>
              <w:rPr>
                <w:rFonts w:ascii="Arial" w:cs="Arial" w:eastAsia="Arial" w:hAnsi="Arial"/>
                <w:b/>
                <w:bCs/>
                <w:i w:val="false"/>
                <w:iCs w:val="false"/>
                <w:color w:val="C8920A"/>
                <w:sz w:val="18"/>
                <w:szCs w:val="18"/>
              </w:rPr>
              <w:t xml:space="preserve">Marchés Cibles</w:t>
            </w:r>
          </w:p>
          <w:p>
            <w:pPr>
              <w:pStyle w:val="ListParagraph"/>
              <w:numPr>
                <w:ilvl w:val="0"/>
                <w:numId w:val="2"/>
              </w:numPr>
              <w:spacing w:after="30" w:before="30"/>
            </w:pPr>
            <w:r>
              <w:rPr>
                <w:rFonts w:ascii="Arial" w:cs="Arial" w:eastAsia="Arial" w:hAnsi="Arial"/>
                <w:b w:val="false"/>
                <w:bCs w:val="false"/>
                <w:color w:val="000000"/>
                <w:sz w:val="19"/>
                <w:szCs w:val="19"/>
              </w:rPr>
              <w:t xml:space="preserve">Zone BCEAO : Sénégal, Côte d'Ivoire, Mali, Burkina Faso</w:t>
            </w:r>
          </w:p>
          <w:p>
            <w:pPr>
              <w:pStyle w:val="ListParagraph"/>
              <w:numPr>
                <w:ilvl w:val="0"/>
                <w:numId w:val="2"/>
              </w:numPr>
              <w:spacing w:after="30" w:before="30"/>
            </w:pPr>
            <w:r>
              <w:rPr>
                <w:rFonts w:ascii="Arial" w:cs="Arial" w:eastAsia="Arial" w:hAnsi="Arial"/>
                <w:b w:val="false"/>
                <w:bCs w:val="false"/>
                <w:color w:val="000000"/>
                <w:sz w:val="19"/>
                <w:szCs w:val="19"/>
              </w:rPr>
              <w:t xml:space="preserve">Zone CEMAC : Cameroun, Congo</w:t>
            </w:r>
          </w:p>
          <w:p>
            <w:pPr>
              <w:pStyle w:val="ListParagraph"/>
              <w:numPr>
                <w:ilvl w:val="0"/>
                <w:numId w:val="2"/>
              </w:numPr>
              <w:spacing w:after="30" w:before="30"/>
            </w:pPr>
            <w:r>
              <w:rPr>
                <w:rFonts w:ascii="Arial" w:cs="Arial" w:eastAsia="Arial" w:hAnsi="Arial"/>
                <w:b w:val="false"/>
                <w:bCs w:val="false"/>
                <w:color w:val="000000"/>
                <w:sz w:val="19"/>
                <w:szCs w:val="19"/>
              </w:rPr>
              <w:t xml:space="preserve">Expansion : Nigéria, Ghana, Kenya, Rwanda, Libéria</w:t>
            </w:r>
          </w:p>
          <w:p>
            <w:pPr>
              <w:pStyle w:val="ListParagraph"/>
              <w:numPr>
                <w:ilvl w:val="0"/>
                <w:numId w:val="2"/>
              </w:numPr>
              <w:spacing w:after="30" w:before="30"/>
            </w:pPr>
            <w:r>
              <w:rPr>
                <w:rFonts w:ascii="Arial" w:cs="Arial" w:eastAsia="Arial" w:hAnsi="Arial"/>
                <w:b w:val="false"/>
                <w:bCs w:val="false"/>
                <w:color w:val="000000"/>
                <w:sz w:val="19"/>
                <w:szCs w:val="19"/>
              </w:rPr>
              <w:t xml:space="preserve">11 pays — 10 devises actives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DB" w:val="clear"/>
            <w:tcMar>
              <w:top w:type="dxa" w:w="160"/>
              <w:left w:type="dxa" w:w="260"/>
              <w:bottom w:type="dxa" w:w="160"/>
              <w:right w:type="dxa" w:w="260"/>
            </w:tcMar>
          </w:tcPr>
          <w:p>
            <w:pPr>
              <w:spacing w:after="40" w:before="0"/>
            </w:pPr>
            <w:r>
              <w:rPr>
                <w:rFonts w:ascii="Arial" w:cs="Arial" w:eastAsia="Arial" w:hAnsi="Arial"/>
                <w:b/>
                <w:bCs/>
                <w:color w:val="FFFFFF"/>
                <w:sz w:val="30"/>
                <w:szCs w:val="30"/>
              </w:rPr>
              <w:t xml:space="preserve">SECTION 2 — ARCHITECTURE</w:t>
            </w:r>
          </w:p>
          <w:p>
            <w:pPr>
              <w:spacing w:after="0" w:before="0"/>
            </w:pPr>
            <w:r>
              <w:rPr>
                <w:rFonts w:ascii="Arial" w:cs="Arial" w:eastAsia="Arial" w:hAnsi="Arial"/>
                <w:color w:val="CCCCCC"/>
                <w:sz w:val="18"/>
                <w:szCs w:val="18"/>
              </w:rPr>
              <w:t xml:space="preserve">Pile Plateforme 7 Couches — du fondement des données à l'expérience mobile</w:t>
            </w:r>
          </w:p>
        </w:tc>
      </w:tr>
    </w:tbl>
    <w:p>
      <w:pPr>
        <w:spacing w:after="60" w:before="120"/>
      </w:pPr>
      <w:r>
        <w:t xml:space="preserve"/>
      </w:r>
    </w:p>
    <w:p>
      <w:pPr>
        <w:spacing w:after="60" w:before="0"/>
        <w:jc w:val="left"/>
      </w:pPr>
      <w:r>
        <w:rPr>
          <w:rFonts w:ascii="Arial" w:cs="Arial" w:eastAsia="Arial" w:hAnsi="Arial"/>
          <w:b/>
          <w:bCs/>
          <w:i w:val="false"/>
          <w:iCs w:val="false"/>
          <w:color w:val="0D1F3C"/>
          <w:sz w:val="22"/>
          <w:szCs w:val="22"/>
        </w:rPr>
        <w:t xml:space="preserve">Philosophie d'Architecture</w:t>
      </w:r>
    </w:p>
    <w:p>
      <w:pPr>
        <w:spacing w:after="60" w:before="0"/>
        <w:jc w:val="left"/>
      </w:pPr>
      <w:r>
        <w:rPr>
          <w:rFonts w:ascii="Arial" w:cs="Arial" w:eastAsia="Arial" w:hAnsi="Arial"/>
          <w:b w:val="false"/>
          <w:bCs w:val="false"/>
          <w:i w:val="false"/>
          <w:iCs w:val="false"/>
          <w:color w:val="000000"/>
          <w:sz w:val="19"/>
          <w:szCs w:val="19"/>
        </w:rPr>
        <w:t xml:space="preserve">CF360 est construit en 7 couches distinctes, chacune servant une fonction spécifique. Chaque couche s'appuie sur celle en dessous. Les couches 1 à 4 sont entièrement actives dans l'org Developer Edition. Les couches 5, 6 et 7 sont soit partiellement déployées, soit prêtes en conception dans l'attente d'une licence de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4160"/>
        <w:gridCol w:w="1800"/>
        <w:gridCol w:w="1000"/>
      </w:tblGrid>
      <w:tr>
        <w:tc>
          <w:tcPr>
            <w:tcW w:type="dxa" w:w="6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center"/>
            </w:pPr>
            <w:r>
              <w:rPr>
                <w:rFonts w:ascii="Arial" w:cs="Arial" w:eastAsia="Arial" w:hAnsi="Arial"/>
                <w:b/>
                <w:bCs/>
                <w:i w:val="false"/>
                <w:iCs w:val="false"/>
                <w:color w:val="FFFFFF"/>
                <w:sz w:val="19"/>
                <w:szCs w:val="19"/>
              </w:rPr>
              <w:t xml:space="preserve">Couche</w:t>
            </w:r>
          </w:p>
        </w:tc>
        <w:tc>
          <w:tcPr>
            <w:tcW w:type="dxa" w:w="18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Nom</w:t>
            </w:r>
          </w:p>
        </w:tc>
        <w:tc>
          <w:tcPr>
            <w:tcW w:type="dxa" w:w="416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Ce qu'elle fait</w:t>
            </w:r>
          </w:p>
        </w:tc>
        <w:tc>
          <w:tcPr>
            <w:tcW w:type="dxa" w:w="18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Composants Clés</w:t>
            </w:r>
          </w:p>
        </w:tc>
        <w:tc>
          <w:tcPr>
            <w:tcW w:type="dxa" w:w="10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center"/>
            </w:pPr>
            <w:r>
              <w:rPr>
                <w:rFonts w:ascii="Arial" w:cs="Arial" w:eastAsia="Arial" w:hAnsi="Arial"/>
                <w:b/>
                <w:bCs/>
                <w:i w:val="false"/>
                <w:iCs w:val="false"/>
                <w:color w:val="FFFFFF"/>
                <w:sz w:val="19"/>
                <w:szCs w:val="19"/>
              </w:rPr>
              <w:t xml:space="preserve">Statut</w:t>
            </w:r>
          </w:p>
        </w:tc>
      </w:tr>
      <w:tr>
        <w:tc>
          <w:tcPr>
            <w:tcW w:type="dxa" w:w="600"/>
            <w:tcBorders>
              <w:top w:val="single" w:color="E2E8F0" w:sz="1"/>
              <w:left w:val="single" w:color="E2E8F0" w:sz="1"/>
              <w:bottom w:val="single" w:color="E2E8F0" w:sz="1"/>
              <w:right w:val="single" w:color="E2E8F0" w:sz="1"/>
            </w:tcBorders>
            <w:shd w:fill="7C3AED" w:val="clear"/>
            <w:tcMar>
              <w:top w:type="dxa" w:w="80"/>
              <w:left w:type="dxa" w:w="60"/>
              <w:bottom w:type="dxa" w:w="80"/>
              <w:right w:type="dxa" w:w="60"/>
            </w:tcMar>
            <w:vAlign w:val="center"/>
          </w:tcPr>
          <w:p>
            <w:pPr>
              <w:jc w:val="center"/>
            </w:pPr>
            <w:r>
              <w:rPr>
                <w:rFonts w:ascii="Arial" w:cs="Arial" w:eastAsia="Arial" w:hAnsi="Arial"/>
                <w:b/>
                <w:bCs/>
                <w:color w:val="FFFFFF"/>
                <w:sz w:val="20"/>
                <w:szCs w:val="20"/>
              </w:rPr>
              <w:t xml:space="preserve">C7</w:t>
            </w:r>
          </w:p>
        </w:tc>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Mobile &amp; Avancé</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Surveillance proactive, alertes programmées, score de santé du portefeuille, escalade de violation de covenant, avertissements d'échéance de prêt.</w:t>
            </w:r>
          </w:p>
        </w:tc>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iCs/>
                <w:color w:val="1A56DB"/>
                <w:sz w:val="19"/>
                <w:szCs w:val="19"/>
              </w:rPr>
              <w:t xml:space="preserve">3 flux programmés/déclenchés</w:t>
            </w:r>
          </w:p>
        </w:tc>
        <w:tc>
          <w:tcPr>
            <w:tcW w:type="dxa" w:w="1000"/>
            <w:tcBorders>
              <w:top w:val="single" w:color="E2E8F0" w:sz="1"/>
              <w:left w:val="single" w:color="E2E8F0" w:sz="1"/>
              <w:bottom w:val="single" w:color="E2E8F0" w:sz="1"/>
              <w:right w:val="single" w:color="E2E8F0" w:sz="1"/>
            </w:tcBorders>
            <w:shd w:fill="DCFCE7" w:val="clear"/>
            <w:tcMar>
              <w:top w:type="dxa" w:w="60"/>
              <w:left w:type="dxa" w:w="80"/>
              <w:bottom w:type="dxa" w:w="60"/>
              <w:right w:type="dxa" w:w="80"/>
            </w:tcMar>
            <w:vAlign w:val="center"/>
          </w:tcPr>
          <w:p>
            <w:pPr>
              <w:jc w:val="center"/>
            </w:pPr>
            <w:r>
              <w:rPr>
                <w:rFonts w:ascii="Arial" w:cs="Arial" w:eastAsia="Arial" w:hAnsi="Arial"/>
                <w:b/>
                <w:bCs/>
                <w:color w:val="14532D"/>
                <w:sz w:val="16"/>
                <w:szCs w:val="16"/>
              </w:rPr>
              <w:t xml:space="preserve">Actif</w:t>
            </w:r>
          </w:p>
        </w:tc>
      </w:tr>
      <w:tr>
        <w:tc>
          <w:tcPr>
            <w:tcW w:type="dxa" w:w="600"/>
            <w:tcBorders>
              <w:top w:val="single" w:color="E2E8F0" w:sz="1"/>
              <w:left w:val="single" w:color="E2E8F0" w:sz="1"/>
              <w:bottom w:val="single" w:color="E2E8F0" w:sz="1"/>
              <w:right w:val="single" w:color="E2E8F0" w:sz="1"/>
            </w:tcBorders>
            <w:shd w:fill="0891B2" w:val="clear"/>
            <w:tcMar>
              <w:top w:type="dxa" w:w="80"/>
              <w:left w:type="dxa" w:w="60"/>
              <w:bottom w:type="dxa" w:w="80"/>
              <w:right w:type="dxa" w:w="60"/>
            </w:tcMar>
            <w:vAlign w:val="center"/>
          </w:tcPr>
          <w:p>
            <w:pPr>
              <w:jc w:val="center"/>
            </w:pPr>
            <w:r>
              <w:rPr>
                <w:rFonts w:ascii="Arial" w:cs="Arial" w:eastAsia="Arial" w:hAnsi="Arial"/>
                <w:b/>
                <w:bCs/>
                <w:color w:val="FFFFFF"/>
                <w:sz w:val="20"/>
                <w:szCs w:val="20"/>
              </w:rPr>
              <w:t xml:space="preserve">C6</w:t>
            </w:r>
          </w:p>
        </w:tc>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Intégrations</w:t>
            </w:r>
          </w:p>
        </w:tc>
        <w:tc>
          <w:tcPr>
            <w:tcW w:type="dxa" w:w="4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Notifications SMS, alertes de demande de documents, simulation de bureau de crédit, journalisation d'audit réglementaire. Logique prête pour Orange Money, MTN MoMo, WhatsApp.</w:t>
            </w:r>
          </w:p>
        </w:tc>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iCs/>
                <w:color w:val="1A56DB"/>
                <w:sz w:val="19"/>
                <w:szCs w:val="19"/>
              </w:rPr>
              <w:t xml:space="preserve">4 flux d'intégration</w:t>
            </w:r>
          </w:p>
        </w:tc>
        <w:tc>
          <w:tcPr>
            <w:tcW w:type="dxa" w:w="1000"/>
            <w:tcBorders>
              <w:top w:val="single" w:color="E2E8F0" w:sz="1"/>
              <w:left w:val="single" w:color="E2E8F0" w:sz="1"/>
              <w:bottom w:val="single" w:color="E2E8F0" w:sz="1"/>
              <w:right w:val="single" w:color="E2E8F0" w:sz="1"/>
            </w:tcBorders>
            <w:shd w:fill="CFFAFE" w:val="clear"/>
            <w:tcMar>
              <w:top w:type="dxa" w:w="60"/>
              <w:left w:type="dxa" w:w="80"/>
              <w:bottom w:type="dxa" w:w="60"/>
              <w:right w:type="dxa" w:w="80"/>
            </w:tcMar>
            <w:vAlign w:val="center"/>
          </w:tcPr>
          <w:p>
            <w:pPr>
              <w:jc w:val="center"/>
            </w:pPr>
            <w:r>
              <w:rPr>
                <w:rFonts w:ascii="Arial" w:cs="Arial" w:eastAsia="Arial" w:hAnsi="Arial"/>
                <w:b/>
                <w:bCs/>
                <w:color w:val="0E7490"/>
                <w:sz w:val="16"/>
                <w:szCs w:val="16"/>
              </w:rPr>
              <w:t xml:space="preserve">Actif (Simulé)</w:t>
            </w:r>
          </w:p>
        </w:tc>
      </w:tr>
      <w:tr>
        <w:tc>
          <w:tcPr>
            <w:tcW w:type="dxa" w:w="600"/>
            <w:tcBorders>
              <w:top w:val="single" w:color="E2E8F0" w:sz="1"/>
              <w:left w:val="single" w:color="E2E8F0" w:sz="1"/>
              <w:bottom w:val="single" w:color="E2E8F0" w:sz="1"/>
              <w:right w:val="single" w:color="E2E8F0" w:sz="1"/>
            </w:tcBorders>
            <w:shd w:fill="0284C7" w:val="clear"/>
            <w:tcMar>
              <w:top w:type="dxa" w:w="80"/>
              <w:left w:type="dxa" w:w="60"/>
              <w:bottom w:type="dxa" w:w="80"/>
              <w:right w:type="dxa" w:w="60"/>
            </w:tcMar>
            <w:vAlign w:val="center"/>
          </w:tcPr>
          <w:p>
            <w:pPr>
              <w:jc w:val="center"/>
            </w:pPr>
            <w:r>
              <w:rPr>
                <w:rFonts w:ascii="Arial" w:cs="Arial" w:eastAsia="Arial" w:hAnsi="Arial"/>
                <w:b/>
                <w:bCs/>
                <w:color w:val="FFFFFF"/>
                <w:sz w:val="20"/>
                <w:szCs w:val="20"/>
              </w:rPr>
              <w:t xml:space="preserve">C5</w:t>
            </w:r>
          </w:p>
        </w:tc>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Experience Cloud</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Portail emprunteur — téléchargement de documents, vérification du statut de prêt. Portail 6 pages conçu. Flux d'écran construits et actifs.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iCs/>
                <w:color w:val="1A56DB"/>
                <w:sz w:val="19"/>
                <w:szCs w:val="19"/>
              </w:rPr>
              <w:t xml:space="preserve">2 flux d'écran actifs</w:t>
            </w:r>
          </w:p>
        </w:tc>
        <w:tc>
          <w:tcPr>
            <w:tcW w:type="dxa" w:w="1000"/>
            <w:tcBorders>
              <w:top w:val="single" w:color="E2E8F0" w:sz="1"/>
              <w:left w:val="single" w:color="E2E8F0" w:sz="1"/>
              <w:bottom w:val="single" w:color="E2E8F0" w:sz="1"/>
              <w:right w:val="single" w:color="E2E8F0" w:sz="1"/>
            </w:tcBorders>
            <w:shd w:fill="FFF8E6" w:val="clear"/>
            <w:tcMar>
              <w:top w:type="dxa" w:w="60"/>
              <w:left w:type="dxa" w:w="80"/>
              <w:bottom w:type="dxa" w:w="60"/>
              <w:right w:type="dxa" w:w="80"/>
            </w:tcMar>
            <w:vAlign w:val="center"/>
          </w:tcPr>
          <w:p>
            <w:pPr>
              <w:jc w:val="center"/>
            </w:pPr>
            <w:r>
              <w:rPr>
                <w:rFonts w:ascii="Arial" w:cs="Arial" w:eastAsia="Arial" w:hAnsi="Arial"/>
                <w:b/>
                <w:bCs/>
                <w:color w:val="C8920A"/>
                <w:sz w:val="16"/>
                <w:szCs w:val="16"/>
              </w:rPr>
              <w:t xml:space="preserve">Partiel</w:t>
            </w:r>
          </w:p>
        </w:tc>
      </w:tr>
      <w:tr>
        <w:tc>
          <w:tcPr>
            <w:tcW w:type="dxa" w:w="600"/>
            <w:tcBorders>
              <w:top w:val="single" w:color="E2E8F0" w:sz="1"/>
              <w:left w:val="single" w:color="E2E8F0" w:sz="1"/>
              <w:bottom w:val="single" w:color="E2E8F0" w:sz="1"/>
              <w:right w:val="single" w:color="E2E8F0" w:sz="1"/>
            </w:tcBorders>
            <w:shd w:fill="047857" w:val="clear"/>
            <w:tcMar>
              <w:top w:type="dxa" w:w="80"/>
              <w:left w:type="dxa" w:w="60"/>
              <w:bottom w:type="dxa" w:w="80"/>
              <w:right w:type="dxa" w:w="60"/>
            </w:tcMar>
            <w:vAlign w:val="center"/>
          </w:tcPr>
          <w:p>
            <w:pPr>
              <w:jc w:val="center"/>
            </w:pPr>
            <w:r>
              <w:rPr>
                <w:rFonts w:ascii="Arial" w:cs="Arial" w:eastAsia="Arial" w:hAnsi="Arial"/>
                <w:b/>
                <w:bCs/>
                <w:color w:val="FFFFFF"/>
                <w:sz w:val="20"/>
                <w:szCs w:val="20"/>
              </w:rPr>
              <w:t xml:space="preserve">C4</w:t>
            </w:r>
          </w:p>
        </w:tc>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Rapports &amp; Analytique</w:t>
            </w:r>
          </w:p>
        </w:tc>
        <w:tc>
          <w:tcPr>
            <w:tcW w:type="dxa" w:w="4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10 rapports, 4 tableaux de bord (Resp. Portefeuille, Chargé de Crédit, Conformité, Régulateur), 5 types de rapports personnalisés, 4 vues de liste.</w:t>
            </w:r>
          </w:p>
        </w:tc>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iCs/>
                <w:color w:val="1A56DB"/>
                <w:sz w:val="19"/>
                <w:szCs w:val="19"/>
              </w:rPr>
              <w:t xml:space="preserve">10 rapports · 4 tableaux</w:t>
            </w:r>
          </w:p>
        </w:tc>
        <w:tc>
          <w:tcPr>
            <w:tcW w:type="dxa" w:w="1000"/>
            <w:tcBorders>
              <w:top w:val="single" w:color="E2E8F0" w:sz="1"/>
              <w:left w:val="single" w:color="E2E8F0" w:sz="1"/>
              <w:bottom w:val="single" w:color="E2E8F0" w:sz="1"/>
              <w:right w:val="single" w:color="E2E8F0" w:sz="1"/>
            </w:tcBorders>
            <w:shd w:fill="DCFCE7" w:val="clear"/>
            <w:tcMar>
              <w:top w:type="dxa" w:w="60"/>
              <w:left w:type="dxa" w:w="80"/>
              <w:bottom w:type="dxa" w:w="60"/>
              <w:right w:type="dxa" w:w="80"/>
            </w:tcMar>
            <w:vAlign w:val="center"/>
          </w:tcPr>
          <w:p>
            <w:pPr>
              <w:jc w:val="center"/>
            </w:pPr>
            <w:r>
              <w:rPr>
                <w:rFonts w:ascii="Arial" w:cs="Arial" w:eastAsia="Arial" w:hAnsi="Arial"/>
                <w:b/>
                <w:bCs/>
                <w:color w:val="14532D"/>
                <w:sz w:val="16"/>
                <w:szCs w:val="16"/>
              </w:rPr>
              <w:t xml:space="preserve">Actif</w:t>
            </w:r>
          </w:p>
        </w:tc>
      </w:tr>
      <w:tr>
        <w:tc>
          <w:tcPr>
            <w:tcW w:type="dxa" w:w="600"/>
            <w:tcBorders>
              <w:top w:val="single" w:color="E2E8F0" w:sz="1"/>
              <w:left w:val="single" w:color="E2E8F0" w:sz="1"/>
              <w:bottom w:val="single" w:color="E2E8F0" w:sz="1"/>
              <w:right w:val="single" w:color="E2E8F0" w:sz="1"/>
            </w:tcBorders>
            <w:shd w:fill="C8920A" w:val="clear"/>
            <w:tcMar>
              <w:top w:type="dxa" w:w="80"/>
              <w:left w:type="dxa" w:w="60"/>
              <w:bottom w:type="dxa" w:w="80"/>
              <w:right w:type="dxa" w:w="60"/>
            </w:tcMar>
            <w:vAlign w:val="center"/>
          </w:tcPr>
          <w:p>
            <w:pPr>
              <w:jc w:val="center"/>
            </w:pPr>
            <w:r>
              <w:rPr>
                <w:rFonts w:ascii="Arial" w:cs="Arial" w:eastAsia="Arial" w:hAnsi="Arial"/>
                <w:b/>
                <w:bCs/>
                <w:color w:val="FFFFFF"/>
                <w:sz w:val="20"/>
                <w:szCs w:val="20"/>
              </w:rPr>
              <w:t xml:space="preserve">C3</w:t>
            </w:r>
          </w:p>
        </w:tc>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Gouvernance du Crédit</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Limites d'exposition, portes liste de contrôle documents, suivi des covenants, journalisation d'audit, exceptions de crédit, règles de validation.</w:t>
            </w:r>
          </w:p>
        </w:tc>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iCs/>
                <w:color w:val="1A56DB"/>
                <w:sz w:val="19"/>
                <w:szCs w:val="19"/>
              </w:rPr>
              <w:t xml:space="preserve">8 règles · journaux d'audit</w:t>
            </w:r>
          </w:p>
        </w:tc>
        <w:tc>
          <w:tcPr>
            <w:tcW w:type="dxa" w:w="1000"/>
            <w:tcBorders>
              <w:top w:val="single" w:color="E2E8F0" w:sz="1"/>
              <w:left w:val="single" w:color="E2E8F0" w:sz="1"/>
              <w:bottom w:val="single" w:color="E2E8F0" w:sz="1"/>
              <w:right w:val="single" w:color="E2E8F0" w:sz="1"/>
            </w:tcBorders>
            <w:shd w:fill="DCFCE7" w:val="clear"/>
            <w:tcMar>
              <w:top w:type="dxa" w:w="60"/>
              <w:left w:type="dxa" w:w="80"/>
              <w:bottom w:type="dxa" w:w="60"/>
              <w:right w:type="dxa" w:w="80"/>
            </w:tcMar>
            <w:vAlign w:val="center"/>
          </w:tcPr>
          <w:p>
            <w:pPr>
              <w:jc w:val="center"/>
            </w:pPr>
            <w:r>
              <w:rPr>
                <w:rFonts w:ascii="Arial" w:cs="Arial" w:eastAsia="Arial" w:hAnsi="Arial"/>
                <w:b/>
                <w:bCs/>
                <w:color w:val="14532D"/>
                <w:sz w:val="16"/>
                <w:szCs w:val="16"/>
              </w:rPr>
              <w:t xml:space="preserve">Actif</w:t>
            </w:r>
          </w:p>
        </w:tc>
      </w:tr>
      <w:tr>
        <w:tc>
          <w:tcPr>
            <w:tcW w:type="dxa" w:w="600"/>
            <w:tcBorders>
              <w:top w:val="single" w:color="E2E8F0" w:sz="1"/>
              <w:left w:val="single" w:color="E2E8F0" w:sz="1"/>
              <w:bottom w:val="single" w:color="E2E8F0" w:sz="1"/>
              <w:right w:val="single" w:color="E2E8F0" w:sz="1"/>
            </w:tcBorders>
            <w:shd w:fill="1A56DB" w:val="clear"/>
            <w:tcMar>
              <w:top w:type="dxa" w:w="80"/>
              <w:left w:type="dxa" w:w="60"/>
              <w:bottom w:type="dxa" w:w="80"/>
              <w:right w:type="dxa" w:w="60"/>
            </w:tcMar>
            <w:vAlign w:val="center"/>
          </w:tcPr>
          <w:p>
            <w:pPr>
              <w:jc w:val="center"/>
            </w:pPr>
            <w:r>
              <w:rPr>
                <w:rFonts w:ascii="Arial" w:cs="Arial" w:eastAsia="Arial" w:hAnsi="Arial"/>
                <w:b/>
                <w:bCs/>
                <w:color w:val="FFFFFF"/>
                <w:sz w:val="20"/>
                <w:szCs w:val="20"/>
              </w:rPr>
              <w:t xml:space="preserve">C2</w:t>
            </w:r>
          </w:p>
        </w:tc>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Décision &amp; Automatisation</w:t>
            </w:r>
          </w:p>
        </w:tc>
        <w:tc>
          <w:tcPr>
            <w:tcW w:type="dxa" w:w="4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27+ flux, formule de score de risque, processus d'approbation 3 niveaux, création de tâches, alertes email, cascade de devises.</w:t>
            </w:r>
          </w:p>
        </w:tc>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iCs/>
                <w:color w:val="1A56DB"/>
                <w:sz w:val="19"/>
                <w:szCs w:val="19"/>
              </w:rPr>
              <w:t xml:space="preserve">27+ flux · Score de Risque</w:t>
            </w:r>
          </w:p>
        </w:tc>
        <w:tc>
          <w:tcPr>
            <w:tcW w:type="dxa" w:w="1000"/>
            <w:tcBorders>
              <w:top w:val="single" w:color="E2E8F0" w:sz="1"/>
              <w:left w:val="single" w:color="E2E8F0" w:sz="1"/>
              <w:bottom w:val="single" w:color="E2E8F0" w:sz="1"/>
              <w:right w:val="single" w:color="E2E8F0" w:sz="1"/>
            </w:tcBorders>
            <w:shd w:fill="DCFCE7" w:val="clear"/>
            <w:tcMar>
              <w:top w:type="dxa" w:w="60"/>
              <w:left w:type="dxa" w:w="80"/>
              <w:bottom w:type="dxa" w:w="60"/>
              <w:right w:type="dxa" w:w="80"/>
            </w:tcMar>
            <w:vAlign w:val="center"/>
          </w:tcPr>
          <w:p>
            <w:pPr>
              <w:jc w:val="center"/>
            </w:pPr>
            <w:r>
              <w:rPr>
                <w:rFonts w:ascii="Arial" w:cs="Arial" w:eastAsia="Arial" w:hAnsi="Arial"/>
                <w:b/>
                <w:bCs/>
                <w:color w:val="14532D"/>
                <w:sz w:val="16"/>
                <w:szCs w:val="16"/>
              </w:rPr>
              <w:t xml:space="preserve">Actif</w:t>
            </w:r>
          </w:p>
        </w:tc>
      </w:tr>
      <w:tr>
        <w:tc>
          <w:tcPr>
            <w:tcW w:type="dxa" w:w="600"/>
            <w:tcBorders>
              <w:top w:val="single" w:color="E2E8F0" w:sz="1"/>
              <w:left w:val="single" w:color="E2E8F0" w:sz="1"/>
              <w:bottom w:val="single" w:color="E2E8F0" w:sz="1"/>
              <w:right w:val="single" w:color="E2E8F0" w:sz="1"/>
            </w:tcBorders>
            <w:shd w:fill="1A3A6C" w:val="clear"/>
            <w:tcMar>
              <w:top w:type="dxa" w:w="80"/>
              <w:left w:type="dxa" w:w="60"/>
              <w:bottom w:type="dxa" w:w="80"/>
              <w:right w:type="dxa" w:w="60"/>
            </w:tcMar>
            <w:vAlign w:val="center"/>
          </w:tcPr>
          <w:p>
            <w:pPr>
              <w:jc w:val="center"/>
            </w:pPr>
            <w:r>
              <w:rPr>
                <w:rFonts w:ascii="Arial" w:cs="Arial" w:eastAsia="Arial" w:hAnsi="Arial"/>
                <w:b/>
                <w:bCs/>
                <w:color w:val="FFFFFF"/>
                <w:sz w:val="20"/>
                <w:szCs w:val="20"/>
              </w:rPr>
              <w:t xml:space="preserve">C1</w:t>
            </w:r>
          </w:p>
        </w:tc>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Fondement des Données</w:t>
            </w:r>
          </w:p>
        </w:tc>
        <w:tc>
          <w:tcPr>
            <w:tcW w:type="dxa" w:w="4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12 objets, 180+ champs, 17 rôles, 13 ensembles de permissions, 16 groupes PSG, 10 devises, 5 utilisateurs actifs.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iCs/>
                <w:color w:val="1A56DB"/>
                <w:sz w:val="19"/>
                <w:szCs w:val="19"/>
              </w:rPr>
              <w:t xml:space="preserve">12 objets · 17 rôles</w:t>
            </w:r>
          </w:p>
        </w:tc>
        <w:tc>
          <w:tcPr>
            <w:tcW w:type="dxa" w:w="1000"/>
            <w:tcBorders>
              <w:top w:val="single" w:color="E2E8F0" w:sz="1"/>
              <w:left w:val="single" w:color="E2E8F0" w:sz="1"/>
              <w:bottom w:val="single" w:color="E2E8F0" w:sz="1"/>
              <w:right w:val="single" w:color="E2E8F0" w:sz="1"/>
            </w:tcBorders>
            <w:shd w:fill="DCFCE7" w:val="clear"/>
            <w:tcMar>
              <w:top w:type="dxa" w:w="60"/>
              <w:left w:type="dxa" w:w="80"/>
              <w:bottom w:type="dxa" w:w="60"/>
              <w:right w:type="dxa" w:w="80"/>
            </w:tcMar>
            <w:vAlign w:val="center"/>
          </w:tcPr>
          <w:p>
            <w:pPr>
              <w:jc w:val="center"/>
            </w:pPr>
            <w:r>
              <w:rPr>
                <w:rFonts w:ascii="Arial" w:cs="Arial" w:eastAsia="Arial" w:hAnsi="Arial"/>
                <w:b/>
                <w:bCs/>
                <w:color w:val="14532D"/>
                <w:sz w:val="16"/>
                <w:szCs w:val="16"/>
              </w:rPr>
              <w:t xml:space="preserve">Actif</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4532D" w:val="clear"/>
            <w:tcMar>
              <w:top w:type="dxa" w:w="160"/>
              <w:left w:type="dxa" w:w="260"/>
              <w:bottom w:type="dxa" w:w="160"/>
              <w:right w:type="dxa" w:w="260"/>
            </w:tcMar>
          </w:tcPr>
          <w:p>
            <w:pPr>
              <w:spacing w:after="40" w:before="0"/>
            </w:pPr>
            <w:r>
              <w:rPr>
                <w:rFonts w:ascii="Arial" w:cs="Arial" w:eastAsia="Arial" w:hAnsi="Arial"/>
                <w:b/>
                <w:bCs/>
                <w:color w:val="FFFFFF"/>
                <w:sz w:val="30"/>
                <w:szCs w:val="30"/>
              </w:rPr>
              <w:t xml:space="preserve">SECTION 3 — INVENTAIRE DES OBJETS</w:t>
            </w:r>
          </w:p>
          <w:p>
            <w:pPr>
              <w:spacing w:after="0" w:before="0"/>
            </w:pPr>
            <w:r>
              <w:rPr>
                <w:rFonts w:ascii="Arial" w:cs="Arial" w:eastAsia="Arial" w:hAnsi="Arial"/>
                <w:color w:val="CCCCCC"/>
                <w:sz w:val="18"/>
                <w:szCs w:val="18"/>
              </w:rPr>
              <w:t xml:space="preserve">12 Objets — rôle, nombre de champs et relations</w:t>
            </w:r>
          </w:p>
        </w:tc>
      </w:tr>
    </w:tbl>
    <w:p>
      <w:pPr>
        <w:spacing w:after="6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4060"/>
        <w:gridCol w:w="500"/>
        <w:gridCol w:w="2500"/>
      </w:tblGrid>
      <w:tr>
        <w:tc>
          <w:tcPr>
            <w:tcW w:type="dxa" w:w="16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Objet</w:t>
            </w:r>
          </w:p>
        </w:tc>
        <w:tc>
          <w:tcPr>
            <w:tcW w:type="dxa" w:w="7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Type</w:t>
            </w:r>
          </w:p>
        </w:tc>
        <w:tc>
          <w:tcPr>
            <w:tcW w:type="dxa" w:w="406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Rôle dans CF360</w:t>
            </w:r>
          </w:p>
        </w:tc>
        <w:tc>
          <w:tcPr>
            <w:tcW w:type="dxa" w:w="5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center"/>
            </w:pPr>
            <w:r>
              <w:rPr>
                <w:rFonts w:ascii="Arial" w:cs="Arial" w:eastAsia="Arial" w:hAnsi="Arial"/>
                <w:b/>
                <w:bCs/>
                <w:i w:val="false"/>
                <w:iCs w:val="false"/>
                <w:color w:val="FFFFFF"/>
                <w:sz w:val="19"/>
                <w:szCs w:val="19"/>
              </w:rPr>
              <w:t xml:space="preserve">Champs</w:t>
            </w:r>
          </w:p>
        </w:tc>
        <w:tc>
          <w:tcPr>
            <w:tcW w:type="dxa" w:w="25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Relation Clé</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Compte (Account)</w:t>
            </w:r>
          </w:p>
        </w:tc>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Standard</w:t>
            </w:r>
          </w:p>
        </w:tc>
        <w:tc>
          <w:tcPr>
            <w:tcW w:type="dxa" w:w="4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Dossier maître de l'emprunteur. Stocke le statut KYC, le niveau de risque, le secteur, le type de client, les infos de crédit de groupe, les entrées de scoring alternatif, le suivi de l'exposition et la devise. Tous les autres objets renvoient ici.</w:t>
            </w:r>
          </w:p>
        </w:tc>
        <w:tc>
          <w:tcPr>
            <w:tcW w:type="dxa" w:w="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center"/>
            </w:pPr>
            <w:r>
              <w:rPr>
                <w:rFonts w:ascii="Arial" w:cs="Arial" w:eastAsia="Arial" w:hAnsi="Arial"/>
                <w:b w:val="false"/>
                <w:bCs w:val="false"/>
                <w:i w:val="false"/>
                <w:iCs w:val="false"/>
                <w:color w:val="000000"/>
                <w:sz w:val="19"/>
                <w:szCs w:val="19"/>
              </w:rPr>
              <w:t xml:space="preserve">64</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Hub — parent de tous les objets de crédit</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Opportunité (Demande de Prêt)</w:t>
            </w:r>
          </w:p>
        </w:tc>
        <w:tc>
          <w:tcPr>
            <w:tcW w:type="dxa" w:w="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Standard</w:t>
            </w:r>
          </w:p>
        </w:tc>
        <w:tc>
          <w:tcPr>
            <w:tcW w:type="dxa" w:w="40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Suit la demande de prêt depuis le premier contact (Prospection) à travers 8 étapes spécifiques au crédit jusqu'à Approuvé. À l'approbation, déclenche automatiquement la création du Dossier de Financement.</w:t>
            </w:r>
          </w:p>
        </w:tc>
        <w:tc>
          <w:tcPr>
            <w:tcW w:type="dxa" w:w="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center"/>
            </w:pPr>
            <w:r>
              <w:rPr>
                <w:rFonts w:ascii="Arial" w:cs="Arial" w:eastAsia="Arial" w:hAnsi="Arial"/>
                <w:b w:val="false"/>
                <w:bCs w:val="false"/>
                <w:i w:val="false"/>
                <w:iCs w:val="false"/>
                <w:color w:val="000000"/>
                <w:sz w:val="19"/>
                <w:szCs w:val="19"/>
              </w:rPr>
              <w:t xml:space="preserve">28</w:t>
            </w:r>
          </w:p>
        </w:tc>
        <w:tc>
          <w:tcPr>
            <w:tcW w:type="dxa" w:w="2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Lookup depuis Dossier de Financement</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Dossier de Financement</w:t>
            </w:r>
          </w:p>
        </w:tc>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Personnalisé</w:t>
            </w:r>
          </w:p>
        </w:tc>
        <w:tc>
          <w:tcPr>
            <w:tcW w:type="dxa" w:w="4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L'objet central du deal. Lie l'emprunteur, la demande de prêt, les facilités, les documents, le mémo, le collatéral et les covenants. Contient la formule Score de Risque 5 dimensions et pilote le routage d'approbation.</w:t>
            </w:r>
          </w:p>
        </w:tc>
        <w:tc>
          <w:tcPr>
            <w:tcW w:type="dxa" w:w="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center"/>
            </w:pPr>
            <w:r>
              <w:rPr>
                <w:rFonts w:ascii="Arial" w:cs="Arial" w:eastAsia="Arial" w:hAnsi="Arial"/>
                <w:b w:val="false"/>
                <w:bCs w:val="false"/>
                <w:i w:val="false"/>
                <w:iCs w:val="false"/>
                <w:color w:val="000000"/>
                <w:sz w:val="19"/>
                <w:szCs w:val="19"/>
              </w:rPr>
              <w:t xml:space="preserve">19</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Lookup vers Compte + Opportunité</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Facilité de Crédit</w:t>
            </w:r>
          </w:p>
        </w:tc>
        <w:tc>
          <w:tcPr>
            <w:tcW w:type="dxa" w:w="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Personnalisé</w:t>
            </w:r>
          </w:p>
        </w:tc>
        <w:tc>
          <w:tcPr>
            <w:tcW w:type="dxa" w:w="40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Définit le produit de prêt spécifique — type, montant, taux d'intérêt (liste dépendante 34 valeurs filtrée par Type de Prêt), calendrier de remboursement, échéance, solde restant.</w:t>
            </w:r>
          </w:p>
        </w:tc>
        <w:tc>
          <w:tcPr>
            <w:tcW w:type="dxa" w:w="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center"/>
            </w:pPr>
            <w:r>
              <w:rPr>
                <w:rFonts w:ascii="Arial" w:cs="Arial" w:eastAsia="Arial" w:hAnsi="Arial"/>
                <w:b w:val="false"/>
                <w:bCs w:val="false"/>
                <w:i w:val="false"/>
                <w:iCs w:val="false"/>
                <w:color w:val="000000"/>
                <w:sz w:val="19"/>
                <w:szCs w:val="19"/>
              </w:rPr>
              <w:t xml:space="preserve">15</w:t>
            </w:r>
          </w:p>
        </w:tc>
        <w:tc>
          <w:tcPr>
            <w:tcW w:type="dxa" w:w="2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Maître-Détail vers Dossier de Financement</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Structure d'Emprunt</w:t>
            </w:r>
          </w:p>
        </w:tc>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Personnalisé</w:t>
            </w:r>
          </w:p>
        </w:tc>
        <w:tc>
          <w:tcPr>
            <w:tcW w:type="dxa" w:w="4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Gère le crédit multi-parties — mappe les rôles Emprunteur Principal, Co-Emprunteur, Garant et Sponsor sur un seul deal.</w:t>
            </w:r>
          </w:p>
        </w:tc>
        <w:tc>
          <w:tcPr>
            <w:tcW w:type="dxa" w:w="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center"/>
            </w:pPr>
            <w:r>
              <w:rPr>
                <w:rFonts w:ascii="Arial" w:cs="Arial" w:eastAsia="Arial" w:hAnsi="Arial"/>
                <w:b w:val="false"/>
                <w:bCs w:val="false"/>
                <w:i w:val="false"/>
                <w:iCs w:val="false"/>
                <w:color w:val="000000"/>
                <w:sz w:val="19"/>
                <w:szCs w:val="19"/>
              </w:rPr>
              <w:t xml:space="preserve">11</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Maître-Détail vers Dossier de Financement</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Collatéral / Garantie</w:t>
            </w:r>
          </w:p>
        </w:tc>
        <w:tc>
          <w:tcPr>
            <w:tcW w:type="dxa" w:w="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Personnalisé</w:t>
            </w:r>
          </w:p>
        </w:tc>
        <w:tc>
          <w:tcPr>
            <w:tcW w:type="dxa" w:w="40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Enregistre les sûretés constituées. Calcule le LTV% automatiquement. Suit le rang de gage, la valorisation et le statut.</w:t>
            </w:r>
          </w:p>
        </w:tc>
        <w:tc>
          <w:tcPr>
            <w:tcW w:type="dxa" w:w="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center"/>
            </w:pPr>
            <w:r>
              <w:rPr>
                <w:rFonts w:ascii="Arial" w:cs="Arial" w:eastAsia="Arial" w:hAnsi="Arial"/>
                <w:b w:val="false"/>
                <w:bCs w:val="false"/>
                <w:i w:val="false"/>
                <w:iCs w:val="false"/>
                <w:color w:val="000000"/>
                <w:sz w:val="19"/>
                <w:szCs w:val="19"/>
              </w:rPr>
              <w:t xml:space="preserve">16</w:t>
            </w:r>
          </w:p>
        </w:tc>
        <w:tc>
          <w:tcPr>
            <w:tcW w:type="dxa" w:w="2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Lookup vers Dossier / Facilité de Crédit</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Covenant</w:t>
            </w:r>
          </w:p>
        </w:tc>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Personnalisé</w:t>
            </w:r>
          </w:p>
        </w:tc>
        <w:tc>
          <w:tcPr>
            <w:tcW w:type="dxa" w:w="4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Conditions de conformité continue sur un prêt. Détection de violation en temps réel à chaque sauvegarde. Surveillance quotidienne programmée. Date de violation requise quand statut = Violé.</w:t>
            </w:r>
          </w:p>
        </w:tc>
        <w:tc>
          <w:tcPr>
            <w:tcW w:type="dxa" w:w="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center"/>
            </w:pPr>
            <w:r>
              <w:rPr>
                <w:rFonts w:ascii="Arial" w:cs="Arial" w:eastAsia="Arial" w:hAnsi="Arial"/>
                <w:b w:val="false"/>
                <w:bCs w:val="false"/>
                <w:i w:val="false"/>
                <w:iCs w:val="false"/>
                <w:color w:val="000000"/>
                <w:sz w:val="19"/>
                <w:szCs w:val="19"/>
              </w:rPr>
              <w:t xml:space="preserve">15</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Maître-Détail vers Facilité de Crédit</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Document de Prêt</w:t>
            </w:r>
          </w:p>
        </w:tc>
        <w:tc>
          <w:tcPr>
            <w:tcW w:type="dxa" w:w="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Personnalisé</w:t>
            </w:r>
          </w:p>
        </w:tc>
        <w:tc>
          <w:tcPr>
            <w:tcW w:type="dxa" w:w="40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Liste de contrôle et suivi des documents. 38 types de documents, dépendance de champ sur Type de Prêt. La Porte Documents bloque l'avancement de l'étape jusqu'à ce que les docs Obligatoires soient Approuvés.</w:t>
            </w:r>
          </w:p>
        </w:tc>
        <w:tc>
          <w:tcPr>
            <w:tcW w:type="dxa" w:w="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center"/>
            </w:pPr>
            <w:r>
              <w:rPr>
                <w:rFonts w:ascii="Arial" w:cs="Arial" w:eastAsia="Arial" w:hAnsi="Arial"/>
                <w:b w:val="false"/>
                <w:bCs w:val="false"/>
                <w:i w:val="false"/>
                <w:iCs w:val="false"/>
                <w:color w:val="000000"/>
                <w:sz w:val="19"/>
                <w:szCs w:val="19"/>
              </w:rPr>
              <w:t xml:space="preserve">18</w:t>
            </w:r>
          </w:p>
        </w:tc>
        <w:tc>
          <w:tcPr>
            <w:tcW w:type="dxa" w:w="2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Maître-Détail vers Dossier de Financement</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Mémo de Crédit</w:t>
            </w:r>
          </w:p>
        </w:tc>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Personnalisé</w:t>
            </w:r>
          </w:p>
        </w:tc>
        <w:tc>
          <w:tcPr>
            <w:tcW w:type="dxa" w:w="4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Note de crédit formelle avec 7 sections narratives. Soumis à travers un processus d'approbation 3 niveaux. Verrouillé après soumission.</w:t>
            </w:r>
          </w:p>
        </w:tc>
        <w:tc>
          <w:tcPr>
            <w:tcW w:type="dxa" w:w="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center"/>
            </w:pPr>
            <w:r>
              <w:rPr>
                <w:rFonts w:ascii="Arial" w:cs="Arial" w:eastAsia="Arial" w:hAnsi="Arial"/>
                <w:b w:val="false"/>
                <w:bCs w:val="false"/>
                <w:i w:val="false"/>
                <w:iCs w:val="false"/>
                <w:color w:val="000000"/>
                <w:sz w:val="19"/>
                <w:szCs w:val="19"/>
              </w:rPr>
              <w:t xml:space="preserve">14</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Maître-Détail vers Dossier de Financement</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Exception de Crédit</w:t>
            </w:r>
          </w:p>
        </w:tc>
        <w:tc>
          <w:tcPr>
            <w:tcW w:type="dxa" w:w="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Personnalisé</w:t>
            </w:r>
          </w:p>
        </w:tc>
        <w:tc>
          <w:tcPr>
            <w:tcW w:type="dxa" w:w="40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Gouvernance des dérogations. Chaque exception nécessite une justification écrite, une approbation formelle et est définitivement journalisée. Prend en charge 5 types d'exceptions.</w:t>
            </w:r>
          </w:p>
        </w:tc>
        <w:tc>
          <w:tcPr>
            <w:tcW w:type="dxa" w:w="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center"/>
            </w:pPr>
            <w:r>
              <w:rPr>
                <w:rFonts w:ascii="Arial" w:cs="Arial" w:eastAsia="Arial" w:hAnsi="Arial"/>
                <w:b w:val="false"/>
                <w:bCs w:val="false"/>
                <w:i w:val="false"/>
                <w:iCs w:val="false"/>
                <w:color w:val="000000"/>
                <w:sz w:val="19"/>
                <w:szCs w:val="19"/>
              </w:rPr>
              <w:t xml:space="preserve">14</w:t>
            </w:r>
          </w:p>
        </w:tc>
        <w:tc>
          <w:tcPr>
            <w:tcW w:type="dxa" w:w="2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Lookup vers Dossier + Compte</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Réunion Comité de Crédit</w:t>
            </w:r>
          </w:p>
        </w:tc>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Personnalisé</w:t>
            </w:r>
          </w:p>
        </w:tc>
        <w:tc>
          <w:tcPr>
            <w:tcW w:type="dxa" w:w="40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Registre formel de vote du comité. Suit les comptages de votes, le quorum et calcule automatiquement le Pourcentage d'Approbation.</w:t>
            </w:r>
          </w:p>
        </w:tc>
        <w:tc>
          <w:tcPr>
            <w:tcW w:type="dxa" w:w="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center"/>
            </w:pPr>
            <w:r>
              <w:rPr>
                <w:rFonts w:ascii="Arial" w:cs="Arial" w:eastAsia="Arial" w:hAnsi="Arial"/>
                <w:b w:val="false"/>
                <w:bCs w:val="false"/>
                <w:i w:val="false"/>
                <w:iCs w:val="false"/>
                <w:color w:val="000000"/>
                <w:sz w:val="19"/>
                <w:szCs w:val="19"/>
              </w:rPr>
              <w:t xml:space="preserve">13</w:t>
            </w:r>
          </w:p>
        </w:tc>
        <w:tc>
          <w:tcPr>
            <w:tcW w:type="dxa" w:w="2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Lookup vers Dossier de Financement</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Journal d'Audit</w:t>
            </w:r>
          </w:p>
        </w:tc>
        <w:tc>
          <w:tcPr>
            <w:tcW w:type="dxa" w:w="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Personnalisé</w:t>
            </w:r>
          </w:p>
        </w:tc>
        <w:tc>
          <w:tcPr>
            <w:tcW w:type="dxa" w:w="40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Journal immuable des modifications. Enregistre chaque changement d'étape, violation de covenant, exception et changement de statut de document — qui, quoi, quand, ancienne valeur, nouvelle valeur.</w:t>
            </w:r>
          </w:p>
        </w:tc>
        <w:tc>
          <w:tcPr>
            <w:tcW w:type="dxa" w:w="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center"/>
            </w:pPr>
            <w:r>
              <w:rPr>
                <w:rFonts w:ascii="Arial" w:cs="Arial" w:eastAsia="Arial" w:hAnsi="Arial"/>
                <w:b w:val="false"/>
                <w:bCs w:val="false"/>
                <w:i w:val="false"/>
                <w:iCs w:val="false"/>
                <w:color w:val="000000"/>
                <w:sz w:val="19"/>
                <w:szCs w:val="19"/>
              </w:rPr>
              <w:t xml:space="preserve">13</w:t>
            </w:r>
          </w:p>
        </w:tc>
        <w:tc>
          <w:tcPr>
            <w:tcW w:type="dxa" w:w="2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Lookup vers Dossier de Financement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DB" w:val="clear"/>
            <w:tcMar>
              <w:top w:type="dxa" w:w="160"/>
              <w:left w:type="dxa" w:w="260"/>
              <w:bottom w:type="dxa" w:w="160"/>
              <w:right w:type="dxa" w:w="260"/>
            </w:tcMar>
          </w:tcPr>
          <w:p>
            <w:pPr>
              <w:spacing w:after="40" w:before="0"/>
            </w:pPr>
            <w:r>
              <w:rPr>
                <w:rFonts w:ascii="Arial" w:cs="Arial" w:eastAsia="Arial" w:hAnsi="Arial"/>
                <w:b/>
                <w:bCs/>
                <w:color w:val="FFFFFF"/>
                <w:sz w:val="30"/>
                <w:szCs w:val="30"/>
              </w:rPr>
              <w:t xml:space="preserve">SECTION 4 — INVENTAIRE COMPLET DES FLUX</w:t>
            </w:r>
          </w:p>
          <w:p>
            <w:pPr>
              <w:spacing w:after="0" w:before="0"/>
            </w:pPr>
            <w:r>
              <w:rPr>
                <w:rFonts w:ascii="Arial" w:cs="Arial" w:eastAsia="Arial" w:hAnsi="Arial"/>
                <w:color w:val="CCCCCC"/>
                <w:sz w:val="18"/>
                <w:szCs w:val="18"/>
              </w:rPr>
              <w:t xml:space="preserve">27+ Flux — rôle, déclencheur et raison d'existence</w:t>
            </w:r>
          </w:p>
        </w:tc>
      </w:tr>
    </w:tbl>
    <w:p>
      <w:pPr>
        <w:spacing w:after="6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2"/>
              <w:left w:val="single" w:color="991B1B" w:sz="2"/>
              <w:bottom w:val="single" w:color="991B1B" w:sz="1"/>
              <w:right w:val="single" w:color="991B1B" w:sz="1"/>
            </w:tcBorders>
            <w:shd w:fill="FEE2E2" w:val="clear"/>
            <w:tcMar>
              <w:top w:type="dxa" w:w="80"/>
              <w:left w:type="dxa" w:w="160"/>
              <w:bottom w:type="dxa" w:w="80"/>
              <w:right w:type="dxa" w:w="160"/>
            </w:tcMar>
          </w:tcPr>
          <w:p>
            <w:pPr>
              <w:spacing w:after="0" w:before="0"/>
              <w:jc w:val="left"/>
            </w:pPr>
            <w:r>
              <w:rPr>
                <w:rFonts w:ascii="Arial" w:cs="Arial" w:eastAsia="Arial" w:hAnsi="Arial"/>
                <w:b/>
                <w:bCs/>
                <w:i w:val="false"/>
                <w:iCs w:val="false"/>
                <w:color w:val="991B1B"/>
                <w:sz w:val="18"/>
                <w:szCs w:val="18"/>
              </w:rPr>
              <w:t xml:space="preserve">Flux de Porte d'Étape (3) — Bloquent les transitions invalides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2160"/>
        <w:gridCol w:w="3200"/>
      </w:tblGrid>
      <w:tr>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CF360 Bloquer Montage Sans Facilité V2</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Dossier de Financement</w:t>
            </w:r>
          </w:p>
        </w:tc>
        <w:tc>
          <w:tcPr>
            <w:tcW w:type="dxa" w:w="2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iCs/>
                <w:color w:val="64748B"/>
                <w:sz w:val="19"/>
                <w:szCs w:val="19"/>
              </w:rPr>
              <w:t xml:space="preserve">Mis à jour — Étape = Montage</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Vérifie si une Facilité de Crédit est liée. Si non, affiche une erreur bilingue sur le champ Étape. Le banquier ne peut pas avancer sans créer une facilité.</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CF360 Bloquer Révision Sans Mémo V2</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Dossier de Financement</w:t>
            </w:r>
          </w:p>
        </w:tc>
        <w:tc>
          <w:tcPr>
            <w:tcW w:type="dxa" w:w="2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iCs/>
                <w:color w:val="64748B"/>
                <w:sz w:val="19"/>
                <w:szCs w:val="19"/>
              </w:rPr>
              <w:t xml:space="preserve">Mis à jour — Étape = Révision Crédit</w:t>
            </w:r>
          </w:p>
        </w:tc>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Vérifie si un Mémo de Crédit est lié. Si non, affiche une erreur bilingue. Force l'analyse crédit avant la révision.</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Porte Liste de Contrôle Documents V1</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Dossier de Financement</w:t>
            </w:r>
          </w:p>
        </w:tc>
        <w:tc>
          <w:tcPr>
            <w:tcW w:type="dxa" w:w="2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iCs/>
                <w:color w:val="64748B"/>
                <w:sz w:val="19"/>
                <w:szCs w:val="19"/>
              </w:rPr>
              <w:t xml:space="preserve">Avant Sauvegarde</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Vérifie tous les Documents de Prêt Obligatoires. Si un doc Obligatoire n'est pas Approuvé, bloque Étape = Montage ou Approuvé.</w:t>
            </w:r>
          </w:p>
        </w:tc>
      </w:tr>
    </w:tbl>
    <w:p>
      <w:pPr>
        <w:spacing w:after="3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2"/>
              <w:left w:val="single" w:color="14532D" w:sz="2"/>
              <w:bottom w:val="single" w:color="14532D" w:sz="1"/>
              <w:right w:val="single" w:color="14532D" w:sz="1"/>
            </w:tcBorders>
            <w:shd w:fill="DCFCE7" w:val="clear"/>
            <w:tcMar>
              <w:top w:type="dxa" w:w="80"/>
              <w:left w:type="dxa" w:w="160"/>
              <w:bottom w:type="dxa" w:w="80"/>
              <w:right w:type="dxa" w:w="160"/>
            </w:tcMar>
          </w:tcPr>
          <w:p>
            <w:pPr>
              <w:spacing w:after="0" w:before="0"/>
              <w:jc w:val="left"/>
            </w:pPr>
            <w:r>
              <w:rPr>
                <w:rFonts w:ascii="Arial" w:cs="Arial" w:eastAsia="Arial" w:hAnsi="Arial"/>
                <w:b/>
                <w:bCs/>
                <w:i w:val="false"/>
                <w:iCs w:val="false"/>
                <w:color w:val="14532D"/>
                <w:sz w:val="18"/>
                <w:szCs w:val="18"/>
              </w:rPr>
              <w:t xml:space="preserve">Flux de Création de Tâches (3) — Création automatique des assignments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2160"/>
        <w:gridCol w:w="3200"/>
      </w:tblGrid>
      <w:tr>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CF360 Créer Tâches Montage V2</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Dossier de Financement</w:t>
            </w:r>
          </w:p>
        </w:tc>
        <w:tc>
          <w:tcPr>
            <w:tcW w:type="dxa" w:w="2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iCs/>
                <w:color w:val="64748B"/>
                <w:sz w:val="19"/>
                <w:szCs w:val="19"/>
              </w:rPr>
              <w:t xml:space="preserve">Mis à jour — Étape = Montage</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Crée 3 tâches prioritaires : Config. Facilité de Crédit (3j), Analyse Financière (5j), Rapport de Montage (7j). Envoie alerte email au propriétaire.</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CF360 Créer Tâches Révision Crédit V2</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Dossier de Financement</w:t>
            </w:r>
          </w:p>
        </w:tc>
        <w:tc>
          <w:tcPr>
            <w:tcW w:type="dxa" w:w="2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iCs/>
                <w:color w:val="64748B"/>
                <w:sz w:val="19"/>
                <w:szCs w:val="19"/>
              </w:rPr>
              <w:t xml:space="preserve">Mis à jour — Étape = Révision Crédit</w:t>
            </w:r>
          </w:p>
        </w:tc>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Crée 2 tâches prioritaires : Révision Crédit (3j), Évaluation des Risques (5j). Envoie alerte email au propriétaire.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CF360 Créer Tâches Approbation V1</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Dossier de Financement</w:t>
            </w:r>
          </w:p>
        </w:tc>
        <w:tc>
          <w:tcPr>
            <w:tcW w:type="dxa" w:w="2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iCs/>
                <w:color w:val="64748B"/>
                <w:sz w:val="19"/>
                <w:szCs w:val="19"/>
              </w:rPr>
              <w:t xml:space="preserve">Mis à jour — Étape = Approuvé</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Crée 2 tâches post-approbation : Préparer Lettre d'Offre de Prêt (3j), Compléter Documentation et Comptabilisation (7j).</w:t>
            </w:r>
          </w:p>
        </w:tc>
      </w:tr>
    </w:tbl>
    <w:p>
      <w:pPr>
        <w:spacing w:after="3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2"/>
              <w:left w:val="single" w:color="0E7490" w:sz="2"/>
              <w:bottom w:val="single" w:color="0E7490" w:sz="1"/>
              <w:right w:val="single" w:color="0E7490" w:sz="1"/>
            </w:tcBorders>
            <w:shd w:fill="CFFAFE" w:val="clear"/>
            <w:tcMar>
              <w:top w:type="dxa" w:w="80"/>
              <w:left w:type="dxa" w:w="160"/>
              <w:bottom w:type="dxa" w:w="80"/>
              <w:right w:type="dxa" w:w="160"/>
            </w:tcMar>
          </w:tcPr>
          <w:p>
            <w:pPr>
              <w:spacing w:after="0" w:before="0"/>
              <w:jc w:val="left"/>
            </w:pPr>
            <w:r>
              <w:rPr>
                <w:rFonts w:ascii="Arial" w:cs="Arial" w:eastAsia="Arial" w:hAnsi="Arial"/>
                <w:b/>
                <w:bCs/>
                <w:i w:val="false"/>
                <w:iCs w:val="false"/>
                <w:color w:val="0E7490"/>
                <w:sz w:val="18"/>
                <w:szCs w:val="18"/>
              </w:rPr>
              <w:t xml:space="preserve">Flux Cascade Devise (5) — Règle automatiquement la devise sur tous les objets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2160"/>
        <w:gridCol w:w="3200"/>
      </w:tblGrid>
      <w:tr>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CF360 Régler Devise Compte depuis Marché Principal V1</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Compte</w:t>
            </w:r>
          </w:p>
        </w:tc>
        <w:tc>
          <w:tcPr>
            <w:tcW w:type="dxa" w:w="2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iCs/>
                <w:color w:val="64748B"/>
                <w:sz w:val="19"/>
                <w:szCs w:val="19"/>
              </w:rPr>
              <w:t xml:space="preserve">Créé ou Mis à jour — Marché Principal non vide</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La formule CASE mappe chacun des 11 pays vers le code devise ISO correct. Zéro sélection manuelle requise.</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CF360 Régler Devise Opportunité depuis Compte V1</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Opportunité</w:t>
            </w:r>
          </w:p>
        </w:tc>
        <w:tc>
          <w:tcPr>
            <w:tcW w:type="dxa" w:w="2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iCs/>
                <w:color w:val="64748B"/>
                <w:sz w:val="19"/>
                <w:szCs w:val="19"/>
              </w:rPr>
              <w:t xml:space="preserve">Enregistrement Créé — ID Compte non vide</w:t>
            </w:r>
          </w:p>
        </w:tc>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Récupère le CurrencyIsoCode du Compte lié et le copie dans l'Opportunité. Assure la cohérence des devises.</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CF360 Créer Dossier depuis Opportunité Approuvée V1</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Opportunité</w:t>
            </w:r>
          </w:p>
        </w:tc>
        <w:tc>
          <w:tcPr>
            <w:tcW w:type="dxa" w:w="2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iCs/>
                <w:color w:val="64748B"/>
                <w:sz w:val="19"/>
                <w:szCs w:val="19"/>
              </w:rPr>
              <w:t xml:space="preserve">Mis à jour — Étape = Approuvé</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Auto-crée le Dossier de Financement avec Compte, Opportunité, Montant Total, Étape=Brouillon, Statut=Actif, Propriétaire et Devise copiés.</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CF360 Régler Devise Facilité depuis Dossier V1</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Facilité de Crédit</w:t>
            </w:r>
          </w:p>
        </w:tc>
        <w:tc>
          <w:tcPr>
            <w:tcW w:type="dxa" w:w="2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iCs/>
                <w:color w:val="64748B"/>
                <w:sz w:val="19"/>
                <w:szCs w:val="19"/>
              </w:rPr>
              <w:t xml:space="preserve">Enregistrement Créé — Dossier non vide</w:t>
            </w:r>
          </w:p>
        </w:tc>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Récupère le CurrencyIsoCode du Dossier de Financement et le copie dans la Facilité de Crédit à la création.</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CF360 Régler Devise Collatéral depuis Dossier V1</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Collatéral</w:t>
            </w:r>
          </w:p>
        </w:tc>
        <w:tc>
          <w:tcPr>
            <w:tcW w:type="dxa" w:w="2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iCs/>
                <w:color w:val="64748B"/>
                <w:sz w:val="19"/>
                <w:szCs w:val="19"/>
              </w:rPr>
              <w:t xml:space="preserve">Enregistrement Créé — Dossier non vide</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Récupère le CurrencyIsoCode du Dossier de Financement et le copie dans le Collatéral à la création.</w:t>
            </w:r>
          </w:p>
        </w:tc>
      </w:tr>
    </w:tbl>
    <w:p>
      <w:pPr>
        <w:spacing w:after="3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20A" w:sz="2"/>
              <w:left w:val="single" w:color="C8920A" w:sz="2"/>
              <w:bottom w:val="single" w:color="C8920A" w:sz="1"/>
              <w:right w:val="single" w:color="C8920A" w:sz="1"/>
            </w:tcBorders>
            <w:shd w:fill="FFF8E6" w:val="clear"/>
            <w:tcMar>
              <w:top w:type="dxa" w:w="80"/>
              <w:left w:type="dxa" w:w="160"/>
              <w:bottom w:type="dxa" w:w="80"/>
              <w:right w:type="dxa" w:w="160"/>
            </w:tcMar>
          </w:tcPr>
          <w:p>
            <w:pPr>
              <w:spacing w:after="0" w:before="0"/>
              <w:jc w:val="left"/>
            </w:pPr>
            <w:r>
              <w:rPr>
                <w:rFonts w:ascii="Arial" w:cs="Arial" w:eastAsia="Arial" w:hAnsi="Arial"/>
                <w:b/>
                <w:bCs/>
                <w:i w:val="false"/>
                <w:iCs w:val="false"/>
                <w:color w:val="C8920A"/>
                <w:sz w:val="18"/>
                <w:szCs w:val="18"/>
              </w:rPr>
              <w:t xml:space="preserve">Flux Exposition &amp; Gouvernance (2)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2160"/>
        <w:gridCol w:w="3200"/>
      </w:tblGrid>
      <w:tr>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Cumul Exposition vers Compte V2</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Dossier de Financement</w:t>
            </w:r>
          </w:p>
        </w:tc>
        <w:tc>
          <w:tcPr>
            <w:tcW w:type="dxa" w:w="2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iCs/>
                <w:color w:val="64748B"/>
                <w:sz w:val="19"/>
                <w:szCs w:val="19"/>
              </w:rPr>
              <w:t xml:space="preserve">Créé ou Mis à jour</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Additionne le Montant Total de tous les Dossiers actifs pour ce Compte. Met à jour l'Exposition Totale Actuelle sur le Compte en temps réel.</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Cumul Exposition à la Suppression V1</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Dossier de Financement</w:t>
            </w:r>
          </w:p>
        </w:tc>
        <w:tc>
          <w:tcPr>
            <w:tcW w:type="dxa" w:w="2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iCs/>
                <w:color w:val="64748B"/>
                <w:sz w:val="19"/>
                <w:szCs w:val="19"/>
              </w:rPr>
              <w:t xml:space="preserve">Avant Suppression</w:t>
            </w:r>
          </w:p>
        </w:tc>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Recalcule le cumul d'exposition quand un Dossier de Financement est supprimé pour maintenir l'exactitude.</w:t>
            </w:r>
          </w:p>
        </w:tc>
      </w:tr>
    </w:tbl>
    <w:p>
      <w:pPr>
        <w:spacing w:after="3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2"/>
              <w:left w:val="single" w:color="5B2D8E" w:sz="2"/>
              <w:bottom w:val="single" w:color="5B2D8E" w:sz="1"/>
              <w:right w:val="single" w:color="5B2D8E" w:sz="1"/>
            </w:tcBorders>
            <w:shd w:fill="EDE4F8" w:val="clear"/>
            <w:tcMar>
              <w:top w:type="dxa" w:w="80"/>
              <w:left w:type="dxa" w:w="160"/>
              <w:bottom w:type="dxa" w:w="80"/>
              <w:right w:type="dxa" w:w="160"/>
            </w:tcMar>
          </w:tcPr>
          <w:p>
            <w:pPr>
              <w:spacing w:after="0" w:before="0"/>
              <w:jc w:val="left"/>
            </w:pPr>
            <w:r>
              <w:rPr>
                <w:rFonts w:ascii="Arial" w:cs="Arial" w:eastAsia="Arial" w:hAnsi="Arial"/>
                <w:b/>
                <w:bCs/>
                <w:i w:val="false"/>
                <w:iCs w:val="false"/>
                <w:color w:val="5B2D8E"/>
                <w:sz w:val="18"/>
                <w:szCs w:val="18"/>
              </w:rPr>
              <w:t xml:space="preserve">Flux Covenant &amp; Alertes (4)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2160"/>
        <w:gridCol w:w="3200"/>
      </w:tblGrid>
      <w:tr>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Détection Violation Covenant Temps Réel V1</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Covenant</w:t>
            </w:r>
          </w:p>
        </w:tc>
        <w:tc>
          <w:tcPr>
            <w:tcW w:type="dxa" w:w="2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iCs/>
                <w:color w:val="64748B"/>
                <w:sz w:val="19"/>
                <w:szCs w:val="19"/>
              </w:rPr>
              <w:t xml:space="preserve">Avant Sauvegarde</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Compare la Valeur Réelle au Seuil. Définit automatiquement Statut = Violé ou Conforme à chaque sauvegarde. Aucune mise à jour manuelle requise.</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Moniteur Violation Covenant V1</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Covenant</w:t>
            </w:r>
          </w:p>
        </w:tc>
        <w:tc>
          <w:tcPr>
            <w:tcW w:type="dxa" w:w="2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iCs/>
                <w:color w:val="64748B"/>
                <w:sz w:val="19"/>
                <w:szCs w:val="19"/>
              </w:rPr>
              <w:t xml:space="preserve">Programmé — Quotidien 2h00</w:t>
            </w:r>
          </w:p>
        </w:tc>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Analyse tous les Covenants. Enregistre la Date de Violation quand le statut est Violé.</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CF360 Alerte Covenant En Retard V1</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Covenant</w:t>
            </w:r>
          </w:p>
        </w:tc>
        <w:tc>
          <w:tcPr>
            <w:tcW w:type="dxa" w:w="2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iCs/>
                <w:color w:val="64748B"/>
                <w:sz w:val="19"/>
                <w:szCs w:val="19"/>
              </w:rPr>
              <w:t xml:space="preserve">Programmé — Quotidien 6h00</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Envoie une alerte email au propriétaire du deal quand la Date de Prochaine Révision est dépassée.</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CF360 Alerte Document Expirant V1</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Document de Prêt</w:t>
            </w:r>
          </w:p>
        </w:tc>
        <w:tc>
          <w:tcPr>
            <w:tcW w:type="dxa" w:w="2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iCs/>
                <w:color w:val="64748B"/>
                <w:sz w:val="19"/>
                <w:szCs w:val="19"/>
              </w:rPr>
              <w:t xml:space="preserve">Programmé — Quotidien 6h00</w:t>
            </w:r>
          </w:p>
        </w:tc>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Envoie une alerte au propriétaire du Dossier quand la Date d'Expiration du document est dans 30 jours.</w:t>
            </w:r>
          </w:p>
        </w:tc>
      </w:tr>
    </w:tbl>
    <w:p>
      <w:pPr>
        <w:spacing w:after="3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2"/>
              <w:left w:val="single" w:color="334155" w:sz="2"/>
              <w:bottom w:val="single" w:color="334155" w:sz="1"/>
              <w:right w:val="single" w:color="334155" w:sz="1"/>
            </w:tcBorders>
            <w:shd w:fill="F8FAFC" w:val="clear"/>
            <w:tcMar>
              <w:top w:type="dxa" w:w="80"/>
              <w:left w:type="dxa" w:w="160"/>
              <w:bottom w:type="dxa" w:w="80"/>
              <w:right w:type="dxa" w:w="160"/>
            </w:tcMar>
          </w:tcPr>
          <w:p>
            <w:pPr>
              <w:spacing w:after="0" w:before="0"/>
              <w:jc w:val="left"/>
            </w:pPr>
            <w:r>
              <w:rPr>
                <w:rFonts w:ascii="Arial" w:cs="Arial" w:eastAsia="Arial" w:hAnsi="Arial"/>
                <w:b/>
                <w:bCs/>
                <w:i w:val="false"/>
                <w:iCs w:val="false"/>
                <w:color w:val="334155"/>
                <w:sz w:val="18"/>
                <w:szCs w:val="18"/>
              </w:rPr>
              <w:t xml:space="preserve">Flux Journal d'Audit (5) — Traçabilité immuable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2160"/>
        <w:gridCol w:w="3200"/>
      </w:tblGrid>
      <w:tr>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Flux Journal Changement Étape V1</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Dossier de Financement</w:t>
            </w:r>
          </w:p>
        </w:tc>
        <w:tc>
          <w:tcPr>
            <w:tcW w:type="dxa" w:w="2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iCs/>
                <w:color w:val="64748B"/>
                <w:sz w:val="19"/>
                <w:szCs w:val="19"/>
              </w:rPr>
              <w:t xml:space="preserve">Mis à jour — Étape modifiée</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Crée un enregistrement Journal d'Audit à chaque changement d'Étape du Dossier. Enregistre ancienne valeur, nouvelle valeur, utilisateur, horodatage.</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Journal Changement Statut Exception V1</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Exception de Crédit</w:t>
            </w:r>
          </w:p>
        </w:tc>
        <w:tc>
          <w:tcPr>
            <w:tcW w:type="dxa" w:w="2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iCs/>
                <w:color w:val="64748B"/>
                <w:sz w:val="19"/>
                <w:szCs w:val="19"/>
              </w:rPr>
              <w:t xml:space="preserve">Mis à jour</w:t>
            </w:r>
          </w:p>
        </w:tc>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Crée un Journal d'Audit quand le statut d'une Exception de Crédit change.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Journal Changement Statut Covenant V1</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Covenant</w:t>
            </w:r>
          </w:p>
        </w:tc>
        <w:tc>
          <w:tcPr>
            <w:tcW w:type="dxa" w:w="2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iCs/>
                <w:color w:val="64748B"/>
                <w:sz w:val="19"/>
                <w:szCs w:val="19"/>
              </w:rPr>
              <w:t xml:space="preserve">Mis à jour</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Crée un Journal d'Audit quand le Statut d'un Covenant change — y compris les événements de violation et de résolution.</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Journal Changement Statut Document V1</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Document de Prêt</w:t>
            </w:r>
          </w:p>
        </w:tc>
        <w:tc>
          <w:tcPr>
            <w:tcW w:type="dxa" w:w="2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iCs/>
                <w:color w:val="64748B"/>
                <w:sz w:val="19"/>
                <w:szCs w:val="19"/>
              </w:rPr>
              <w:t xml:space="preserve">Mis à jour</w:t>
            </w:r>
          </w:p>
        </w:tc>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Crée un Journal d'Audit quand le statut d'un Document de Prêt change.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CF360 Flux Journal Audit Réglementaire V1</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Dossier de Financement</w:t>
            </w:r>
          </w:p>
        </w:tc>
        <w:tc>
          <w:tcPr>
            <w:tcW w:type="dxa" w:w="2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iCs/>
                <w:color w:val="64748B"/>
                <w:sz w:val="19"/>
                <w:szCs w:val="19"/>
              </w:rPr>
              <w:t xml:space="preserve">Mis à jour</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Crée une entrée d'audit réglementaire pour le reporting de conformité BCEAO/CEMAC.</w:t>
            </w:r>
          </w:p>
        </w:tc>
      </w:tr>
    </w:tbl>
    <w:p>
      <w:pPr>
        <w:spacing w:after="3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2"/>
              <w:left w:val="single" w:color="1A56DB" w:sz="2"/>
              <w:bottom w:val="single" w:color="1A56DB" w:sz="1"/>
              <w:right w:val="single" w:color="1A56DB" w:sz="1"/>
            </w:tcBorders>
            <w:shd w:fill="EBF2FF" w:val="clear"/>
            <w:tcMar>
              <w:top w:type="dxa" w:w="80"/>
              <w:left w:type="dxa" w:w="160"/>
              <w:bottom w:type="dxa" w:w="80"/>
              <w:right w:type="dxa" w:w="160"/>
            </w:tcMar>
          </w:tcPr>
          <w:p>
            <w:pPr>
              <w:spacing w:after="0" w:before="0"/>
              <w:jc w:val="left"/>
            </w:pPr>
            <w:r>
              <w:rPr>
                <w:rFonts w:ascii="Arial" w:cs="Arial" w:eastAsia="Arial" w:hAnsi="Arial"/>
                <w:b/>
                <w:bCs/>
                <w:i w:val="false"/>
                <w:iCs w:val="false"/>
                <w:color w:val="1A56DB"/>
                <w:sz w:val="18"/>
                <w:szCs w:val="18"/>
              </w:rPr>
              <w:t xml:space="preserve">Flux Intégration &amp; Notification (4)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2160"/>
        <w:gridCol w:w="3200"/>
      </w:tblGrid>
      <w:tr>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CF360 Flux Notification Approbation SMS V1</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Dossier de Financement</w:t>
            </w:r>
          </w:p>
        </w:tc>
        <w:tc>
          <w:tcPr>
            <w:tcW w:type="dxa" w:w="2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iCs/>
                <w:color w:val="64748B"/>
                <w:sz w:val="19"/>
                <w:szCs w:val="19"/>
              </w:rPr>
              <w:t xml:space="preserve">Mis à jour — Étape = Approuvé</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Envoie une notification SMS d'approbation de prêt. Prêt pour la production — se connecte au fournisseur SMS lors du déploiement.</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CF360 Flux Notification Demande Document</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Document de Prêt</w:t>
            </w:r>
          </w:p>
        </w:tc>
        <w:tc>
          <w:tcPr>
            <w:tcW w:type="dxa" w:w="2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iCs/>
                <w:color w:val="64748B"/>
                <w:sz w:val="19"/>
                <w:szCs w:val="19"/>
              </w:rPr>
              <w:t xml:space="preserve">Créé/Mis à jour — Statut = Requis</w:t>
            </w:r>
          </w:p>
        </w:tc>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Notifie l'emprunteur qu'un document est requis. Prêt pour connexion WhatsApp/SMS en production.</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CF360 Flux Mise à Jour Profil Risque Bureau de Crédit V1</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Dossier de Financement</w:t>
            </w:r>
          </w:p>
        </w:tc>
        <w:tc>
          <w:tcPr>
            <w:tcW w:type="dxa" w:w="2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iCs/>
                <w:color w:val="64748B"/>
                <w:sz w:val="19"/>
                <w:szCs w:val="19"/>
              </w:rPr>
              <w:t xml:space="preserve">Mis à jour — Étape = Révision Crédit</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Simule l'extraction de données du bureau de crédit. Met à jour le Niveau de Risque et le Statut KYC du Compte.</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Flux Tampon Deal Comité V1</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Réunion Comité de Crédit</w:t>
            </w:r>
          </w:p>
        </w:tc>
        <w:tc>
          <w:tcPr>
            <w:tcW w:type="dxa" w:w="2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iCs/>
                <w:color w:val="64748B"/>
                <w:sz w:val="19"/>
                <w:szCs w:val="19"/>
              </w:rPr>
              <w:t xml:space="preserve">Mis à jour — Résolution définie</w:t>
            </w:r>
          </w:p>
        </w:tc>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Tamponner le Dossier de Financement lié avec la résolution du comité quand le vote est finalisé.</w:t>
            </w:r>
          </w:p>
        </w:tc>
      </w:tr>
    </w:tbl>
    <w:p>
      <w:pPr>
        <w:spacing w:after="3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2"/>
              <w:left w:val="single" w:color="14532D" w:sz="2"/>
              <w:bottom w:val="single" w:color="14532D" w:sz="1"/>
              <w:right w:val="single" w:color="14532D" w:sz="1"/>
            </w:tcBorders>
            <w:shd w:fill="DCFCE7" w:val="clear"/>
            <w:tcMar>
              <w:top w:type="dxa" w:w="80"/>
              <w:left w:type="dxa" w:w="160"/>
              <w:bottom w:type="dxa" w:w="80"/>
              <w:right w:type="dxa" w:w="160"/>
            </w:tcMar>
          </w:tcPr>
          <w:p>
            <w:pPr>
              <w:spacing w:after="0" w:before="0"/>
              <w:jc w:val="left"/>
            </w:pPr>
            <w:r>
              <w:rPr>
                <w:rFonts w:ascii="Arial" w:cs="Arial" w:eastAsia="Arial" w:hAnsi="Arial"/>
                <w:b/>
                <w:bCs/>
                <w:i w:val="false"/>
                <w:iCs w:val="false"/>
                <w:color w:val="14532D"/>
                <w:sz w:val="18"/>
                <w:szCs w:val="18"/>
              </w:rPr>
              <w:t xml:space="preserve">Flux de Surveillance Avancée (3) — Couche 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2160"/>
        <w:gridCol w:w="3200"/>
      </w:tblGrid>
      <w:tr>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CF360 Flux Alerte Violation Covenant</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Covenant</w:t>
            </w:r>
          </w:p>
        </w:tc>
        <w:tc>
          <w:tcPr>
            <w:tcW w:type="dxa" w:w="2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iCs/>
                <w:color w:val="64748B"/>
                <w:sz w:val="19"/>
                <w:szCs w:val="19"/>
              </w:rPr>
              <w:t xml:space="preserve">Déclenché — Statut = Violé</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Envoie une alerte d'escalade immédiate quand une violation de covenant est détectée. Notifie le chargé de crédit et le responsable de portefeuille.</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CF360 Flux Avertissement Échéance Prêt</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Facilité de Crédit</w:t>
            </w:r>
          </w:p>
        </w:tc>
        <w:tc>
          <w:tcPr>
            <w:tcW w:type="dxa" w:w="2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iCs/>
                <w:color w:val="64748B"/>
                <w:sz w:val="19"/>
                <w:szCs w:val="19"/>
              </w:rPr>
              <w:t xml:space="preserve">Programmé — Quotidien 6h00</w:t>
            </w:r>
          </w:p>
        </w:tc>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Analyse toutes les Facilités de Crédit actives. Envoie un avertissement quand la Date d'Échéance est dans 30 jours.</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CF360 Flux Score de Santé Portefeuille</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Dossier de Financement</w:t>
            </w:r>
          </w:p>
        </w:tc>
        <w:tc>
          <w:tcPr>
            <w:tcW w:type="dxa" w:w="2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iCs/>
                <w:color w:val="64748B"/>
                <w:sz w:val="19"/>
                <w:szCs w:val="19"/>
              </w:rPr>
              <w:t xml:space="preserve">Programmé — Hebdomadaire Lundi 7h00</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Génère un résumé de santé du portefeuille. Signale les deals avec violations de covenants, documents expirants ou révisions en retard.</w:t>
            </w:r>
          </w:p>
        </w:tc>
      </w:tr>
    </w:tbl>
    <w:p>
      <w:pPr>
        <w:spacing w:after="3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20A" w:sz="2"/>
              <w:left w:val="single" w:color="C8920A" w:sz="2"/>
              <w:bottom w:val="single" w:color="C8920A" w:sz="1"/>
              <w:right w:val="single" w:color="C8920A" w:sz="1"/>
            </w:tcBorders>
            <w:shd w:fill="FFF8E6" w:val="clear"/>
            <w:tcMar>
              <w:top w:type="dxa" w:w="80"/>
              <w:left w:type="dxa" w:w="160"/>
              <w:bottom w:type="dxa" w:w="80"/>
              <w:right w:type="dxa" w:w="160"/>
            </w:tcMar>
          </w:tcPr>
          <w:p>
            <w:pPr>
              <w:spacing w:after="0" w:before="0"/>
              <w:jc w:val="left"/>
            </w:pPr>
            <w:r>
              <w:rPr>
                <w:rFonts w:ascii="Arial" w:cs="Arial" w:eastAsia="Arial" w:hAnsi="Arial"/>
                <w:b/>
                <w:bCs/>
                <w:i w:val="false"/>
                <w:iCs w:val="false"/>
                <w:color w:val="C8920A"/>
                <w:sz w:val="18"/>
                <w:szCs w:val="18"/>
              </w:rPr>
              <w:t xml:space="preserve">Flux d'Écran Experience Cloud (2) — Couche 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2160"/>
        <w:gridCol w:w="3200"/>
      </w:tblGrid>
      <w:tr>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CF360 Flux Téléchargement Document</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Portail Experience Cloud</w:t>
            </w:r>
          </w:p>
        </w:tc>
        <w:tc>
          <w:tcPr>
            <w:tcW w:type="dxa" w:w="2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iCs/>
                <w:color w:val="64748B"/>
                <w:sz w:val="19"/>
                <w:szCs w:val="19"/>
              </w:rPr>
              <w:t xml:space="preserve">Flux d'Écran — Initié par l'emprunteur</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Téléchargement guidé en 3 écrans : Sélectionner Prêt → Choisir Type de Document (filtré par Type de Prêt) → Télécharger fichier. Crée un enregistrement Document de Prêt.</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CF360 Flux Vérification Statut Prêt</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Portail Experience Cloud</w:t>
            </w:r>
          </w:p>
        </w:tc>
        <w:tc>
          <w:tcPr>
            <w:tcW w:type="dxa" w:w="2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iCs/>
                <w:color w:val="64748B"/>
                <w:sz w:val="19"/>
                <w:szCs w:val="19"/>
              </w:rPr>
              <w:t xml:space="preserve">Flux d'Écran — Initié par l'emprunteur</w:t>
            </w:r>
          </w:p>
        </w:tc>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Permet aux emprunteurs de vérifier l'étape et le statut actuels de leur demande de prêt sans visiter une agence.</w:t>
            </w:r>
          </w:p>
        </w:tc>
      </w:tr>
    </w:tbl>
    <w:p>
      <w:pPr>
        <w:spacing w:after="3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8920A" w:val="clear"/>
            <w:tcMar>
              <w:top w:type="dxa" w:w="160"/>
              <w:left w:type="dxa" w:w="260"/>
              <w:bottom w:type="dxa" w:w="160"/>
              <w:right w:type="dxa" w:w="260"/>
            </w:tcMar>
          </w:tcPr>
          <w:p>
            <w:pPr>
              <w:spacing w:after="40" w:before="0"/>
            </w:pPr>
            <w:r>
              <w:rPr>
                <w:rFonts w:ascii="Arial" w:cs="Arial" w:eastAsia="Arial" w:hAnsi="Arial"/>
                <w:b/>
                <w:bCs/>
                <w:color w:val="FFFFFF"/>
                <w:sz w:val="30"/>
                <w:szCs w:val="30"/>
              </w:rPr>
              <w:t xml:space="preserve">SECTION 5 — RÈGLES DE VALIDATION &amp; FORMULES</w:t>
            </w:r>
          </w:p>
          <w:p>
            <w:pPr>
              <w:spacing w:after="0" w:before="0"/>
            </w:pPr>
            <w:r>
              <w:rPr>
                <w:rFonts w:ascii="Arial" w:cs="Arial" w:eastAsia="Arial" w:hAnsi="Arial"/>
                <w:color w:val="CCCCCC"/>
                <w:sz w:val="18"/>
                <w:szCs w:val="18"/>
              </w:rPr>
              <w:t xml:space="preserve">8 Règles de Validation · Formule Score de Risque · Formule Niveau de Risque Suggéré</w:t>
            </w:r>
          </w:p>
        </w:tc>
      </w:tr>
    </w:tbl>
    <w:p>
      <w:pPr>
        <w:spacing w:after="6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F3C" w:val="clear"/>
            <w:tcMar>
              <w:top w:type="dxa" w:w="100"/>
              <w:left w:type="dxa" w:w="200"/>
              <w:bottom w:type="dxa" w:w="100"/>
              <w:right w:type="dxa" w:w="200"/>
            </w:tcMar>
          </w:tcPr>
          <w:p>
            <w:r>
              <w:rPr>
                <w:rFonts w:ascii="Arial" w:cs="Arial" w:eastAsia="Arial" w:hAnsi="Arial"/>
                <w:b/>
                <w:bCs/>
                <w:color w:val="FFFFFF"/>
                <w:sz w:val="22"/>
                <w:szCs w:val="22"/>
              </w:rPr>
              <w:t xml:space="preserve">Règles de Validation — 8 au Total</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3160"/>
        <w:gridCol w:w="2800"/>
      </w:tblGrid>
      <w:tr>
        <w:tc>
          <w:tcPr>
            <w:tcW w:type="dxa" w:w="24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Nom de la Règle</w:t>
            </w:r>
          </w:p>
        </w:tc>
        <w:tc>
          <w:tcPr>
            <w:tcW w:type="dxa" w:w="10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Objet</w:t>
            </w:r>
          </w:p>
        </w:tc>
        <w:tc>
          <w:tcPr>
            <w:tcW w:type="dxa" w:w="316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Ce qu'elle bloque</w:t>
            </w:r>
          </w:p>
        </w:tc>
        <w:tc>
          <w:tcPr>
            <w:tcW w:type="dxa" w:w="28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Pourquoi elle existe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Numéro_Fiscal_Requis_Si_KYC_Vérifié</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Compte</w:t>
            </w:r>
          </w:p>
        </w:tc>
        <w:tc>
          <w:tcPr>
            <w:tcW w:type="dxa" w:w="3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Définir Statut KYC = Vérifié sans Numéro Fiscal renseigné</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14532D"/>
                <w:sz w:val="19"/>
                <w:szCs w:val="19"/>
              </w:rPr>
              <w:t xml:space="preserve">Exigence LBC/FT — le numéro fiscal doit être au dossier avant la vérification d'identité</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Vérification_Dépassement_Limite_Exposition</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Dossier de Financement</w:t>
            </w:r>
          </w:p>
        </w:tc>
        <w:tc>
          <w:tcPr>
            <w:tcW w:type="dxa" w:w="3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Sauvegarder un Dossier dont le Montant Total dépasserait la Limite Max d'Exposition du Compte (sauf exception approuvée)</w:t>
            </w:r>
          </w:p>
        </w:tc>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14532D"/>
                <w:sz w:val="19"/>
                <w:szCs w:val="19"/>
              </w:rPr>
              <w:t xml:space="preserve">Règle de risque de concentration emprunteur unique BCEAO/CEMAC</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Montant_Total_Obligatoire</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Dossier de Financement</w:t>
            </w:r>
          </w:p>
        </w:tc>
        <w:tc>
          <w:tcPr>
            <w:tcW w:type="dxa" w:w="3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Sauvegarder un Dossier sans Montant Total</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14532D"/>
                <w:sz w:val="19"/>
                <w:szCs w:val="19"/>
              </w:rPr>
              <w:t xml:space="preserve">Empêche les dossiers de deal incomplets d'entrer dans le workflow</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Date_Approbation_Obligatoire_Si_Approuvé</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Dossier de Financement</w:t>
            </w:r>
          </w:p>
        </w:tc>
        <w:tc>
          <w:tcPr>
            <w:tcW w:type="dxa" w:w="3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Définir Étape = Approuvé sans Date d'Approbation</w:t>
            </w:r>
          </w:p>
        </w:tc>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14532D"/>
                <w:sz w:val="19"/>
                <w:szCs w:val="19"/>
              </w:rPr>
              <w:t xml:space="preserve">Chaque deal approuvé doit avoir une date d'approbation formelle à des fins d'audit</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Date_Expiration_Obligatoire_Si_Approuvé</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Dossier de Financement</w:t>
            </w:r>
          </w:p>
        </w:tc>
        <w:tc>
          <w:tcPr>
            <w:tcW w:type="dxa" w:w="3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Définir Étape = Approuvé sans Date d'Expiration</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14532D"/>
                <w:sz w:val="19"/>
                <w:szCs w:val="19"/>
              </w:rPr>
              <w:t xml:space="preserve">Définit la fenêtre d'engagement — les deals ne peuvent pas être illimités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Opportunité_Obligatoire_Si_Approuvé</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Dossier de Financement</w:t>
            </w:r>
          </w:p>
        </w:tc>
        <w:tc>
          <w:tcPr>
            <w:tcW w:type="dxa" w:w="3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Définir Étape = Approuvé sans Opportunité liée</w:t>
            </w:r>
          </w:p>
        </w:tc>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14532D"/>
                <w:sz w:val="19"/>
                <w:szCs w:val="19"/>
              </w:rPr>
              <w:t xml:space="preserve">Assure que chaque deal remonte à sa demande de prêt originale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Date_Violation_Obligatoire_Si_Violé</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Covenant</w:t>
            </w:r>
          </w:p>
        </w:tc>
        <w:tc>
          <w:tcPr>
            <w:tcW w:type="dxa" w:w="3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Définir Statut Covenant = Violé sans Date de Violation</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14532D"/>
                <w:sz w:val="19"/>
                <w:szCs w:val="19"/>
              </w:rPr>
              <w:t xml:space="preserve">La date de violation est requise pour le reporting réglementaire des covenants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Solde_Restant_Ne_Peut_Dépasser_Montant_Prêt</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Facilité de Crédit</w:t>
            </w:r>
          </w:p>
        </w:tc>
        <w:tc>
          <w:tcPr>
            <w:tcW w:type="dxa" w:w="3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Définir Solde Restant &gt; Montant du Prêt</w:t>
            </w:r>
          </w:p>
        </w:tc>
        <w:tc>
          <w:tcPr>
            <w:tcW w:type="dxa" w:w="2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14532D"/>
                <w:sz w:val="19"/>
                <w:szCs w:val="19"/>
              </w:rPr>
              <w:t xml:space="preserve">Empêche les erreurs de saisie qui surévalueraient l'exposition de l'emprunteur</w:t>
            </w:r>
          </w:p>
        </w:tc>
      </w:tr>
    </w:tbl>
    <w:p>
      <w:pPr>
        <w:spacing w:after="6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DB" w:val="clear"/>
            <w:tcMar>
              <w:top w:type="dxa" w:w="100"/>
              <w:left w:type="dxa" w:w="200"/>
              <w:bottom w:type="dxa" w:w="100"/>
              <w:right w:type="dxa" w:w="200"/>
            </w:tcMar>
          </w:tcPr>
          <w:p>
            <w:r>
              <w:rPr>
                <w:rFonts w:ascii="Arial" w:cs="Arial" w:eastAsia="Arial" w:hAnsi="Arial"/>
                <w:b/>
                <w:bCs/>
                <w:color w:val="FFFFFF"/>
                <w:sz w:val="22"/>
                <w:szCs w:val="22"/>
              </w:rPr>
              <w:t xml:space="preserve">Formule Score de Risque — 5 Dimensions, 100 Points</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3"/>
              <w:left w:val="single" w:color="1A56DB" w:sz="3"/>
              <w:bottom w:val="single" w:color="1A56DB" w:sz="1"/>
              <w:right w:val="single" w:color="1A56DB" w:sz="1"/>
            </w:tcBorders>
            <w:shd w:fill="EBF2FF" w:val="clear"/>
            <w:tcMar>
              <w:top w:type="dxa" w:w="120"/>
              <w:left w:type="dxa" w:w="200"/>
              <w:bottom w:type="dxa" w:w="120"/>
              <w:right w:type="dxa" w:w="200"/>
            </w:tcMar>
          </w:tcPr>
          <w:p>
            <w:pPr>
              <w:spacing w:after="60" w:before="0"/>
              <w:jc w:val="left"/>
            </w:pPr>
            <w:r>
              <w:rPr>
                <w:rFonts w:ascii="Arial" w:cs="Arial" w:eastAsia="Arial" w:hAnsi="Arial"/>
                <w:b/>
                <w:bCs/>
                <w:i w:val="false"/>
                <w:iCs w:val="false"/>
                <w:color w:val="1A56DB"/>
                <w:sz w:val="19"/>
                <w:szCs w:val="19"/>
              </w:rPr>
              <w:t xml:space="preserve">Champ Formule : Risk_Score__c sur Dossier de Financement — Formule (Nombre) — Décimales : 0</w:t>
            </w:r>
          </w:p>
          <w:p>
            <w:pPr>
              <w:spacing w:after="60" w:before="0"/>
              <w:jc w:val="left"/>
            </w:pPr>
            <w:r>
              <w:rPr>
                <w:rFonts w:ascii="Arial" w:cs="Arial" w:eastAsia="Arial" w:hAnsi="Arial"/>
                <w:b w:val="false"/>
                <w:bCs w:val="false"/>
                <w:i w:val="false"/>
                <w:iCs w:val="false"/>
                <w:color w:val="000000"/>
                <w:sz w:val="18"/>
                <w:szCs w:val="18"/>
              </w:rPr>
              <w:t xml:space="preserve">Le Score de Risque calcule automatiquement un score de crédit 0-100 pour chaque Dossier de Financement. Score élevé = risque faible. Il se recalcule automatiquement à chaque changement des champs du Compte ou du Montant Total.</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000"/>
              <w:gridCol w:w="700"/>
              <w:gridCol w:w="4000"/>
              <w:gridCol w:w="2260"/>
            </w:tblGrid>
            <w:tr>
              <w:tc>
                <w:tcPr>
                  <w:tcW w:type="dxa" w:w="20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Dimension</w:t>
                  </w:r>
                </w:p>
              </w:tc>
              <w:tc>
                <w:tcPr>
                  <w:tcW w:type="dxa" w:w="7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center"/>
                  </w:pPr>
                  <w:r>
                    <w:rPr>
                      <w:rFonts w:ascii="Arial" w:cs="Arial" w:eastAsia="Arial" w:hAnsi="Arial"/>
                      <w:b/>
                      <w:bCs/>
                      <w:i w:val="false"/>
                      <w:iCs w:val="false"/>
                      <w:color w:val="FFFFFF"/>
                      <w:sz w:val="19"/>
                      <w:szCs w:val="19"/>
                    </w:rPr>
                    <w:t xml:space="preserve">Pts Max</w:t>
                  </w:r>
                </w:p>
              </w:tc>
              <w:tc>
                <w:tcPr>
                  <w:tcW w:type="dxa" w:w="40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Valeurs de Scoring</w:t>
                  </w:r>
                </w:p>
              </w:tc>
              <w:tc>
                <w:tcPr>
                  <w:tcW w:type="dxa" w:w="226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Changement vs V1</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Statut KYC</w:t>
                  </w:r>
                </w:p>
              </w:tc>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center"/>
                  </w:pPr>
                  <w:r>
                    <w:rPr>
                      <w:rFonts w:ascii="Arial" w:cs="Arial" w:eastAsia="Arial" w:hAnsi="Arial"/>
                      <w:b/>
                      <w:bCs/>
                      <w:i w:val="false"/>
                      <w:iCs w:val="false"/>
                      <w:color w:val="1A56DB"/>
                      <w:sz w:val="19"/>
                      <w:szCs w:val="19"/>
                    </w:rPr>
                    <w:t xml:space="preserve">20</w:t>
                  </w:r>
                </w:p>
              </w:tc>
              <w:tc>
                <w:tcPr>
                  <w:tcW w:type="dxa" w:w="4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Vérifié=20 · Exempté=15 · En attente=8 · Échoué=0</w:t>
                  </w:r>
                </w:p>
              </w:tc>
              <w:tc>
                <w:tcPr>
                  <w:tcW w:type="dxa" w:w="22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iCs/>
                      <w:color w:val="64748B"/>
                      <w:sz w:val="19"/>
                      <w:szCs w:val="19"/>
                    </w:rPr>
                    <w:t xml:space="preserve">Réduit de 25pts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Niveau de Risque</w:t>
                  </w:r>
                </w:p>
              </w:tc>
              <w:tc>
                <w:tcPr>
                  <w:tcW w:type="dxa" w:w="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center"/>
                  </w:pPr>
                  <w:r>
                    <w:rPr>
                      <w:rFonts w:ascii="Arial" w:cs="Arial" w:eastAsia="Arial" w:hAnsi="Arial"/>
                      <w:b/>
                      <w:bCs/>
                      <w:i w:val="false"/>
                      <w:iCs w:val="false"/>
                      <w:color w:val="1A56DB"/>
                      <w:sz w:val="19"/>
                      <w:szCs w:val="19"/>
                    </w:rPr>
                    <w:t xml:space="preserve">30</w:t>
                  </w:r>
                </w:p>
              </w:tc>
              <w:tc>
                <w:tcPr>
                  <w:tcW w:type="dxa" w:w="4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Faible=30 · Moyen=20 · Élevé=10 · Très Élevé=0</w:t>
                  </w:r>
                </w:p>
              </w:tc>
              <w:tc>
                <w:tcPr>
                  <w:tcW w:type="dxa" w:w="22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iCs/>
                      <w:color w:val="64748B"/>
                      <w:sz w:val="19"/>
                      <w:szCs w:val="19"/>
                    </w:rPr>
                    <w:t xml:space="preserve">Réduit de 35pts — reste le poids le plus élevé</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Secteur</w:t>
                  </w:r>
                </w:p>
              </w:tc>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center"/>
                  </w:pPr>
                  <w:r>
                    <w:rPr>
                      <w:rFonts w:ascii="Arial" w:cs="Arial" w:eastAsia="Arial" w:hAnsi="Arial"/>
                      <w:b/>
                      <w:bCs/>
                      <w:i w:val="false"/>
                      <w:iCs w:val="false"/>
                      <w:color w:val="1A56DB"/>
                      <w:sz w:val="19"/>
                      <w:szCs w:val="19"/>
                    </w:rPr>
                    <w:t xml:space="preserve">15</w:t>
                  </w:r>
                </w:p>
              </w:tc>
              <w:tc>
                <w:tcPr>
                  <w:tcW w:type="dxa" w:w="4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Trésorerie=15 · Commerce=12 · Agriculture=10 · Informel/Microfinance=6 · Autre=3</w:t>
                  </w:r>
                </w:p>
              </w:tc>
              <w:tc>
                <w:tcPr>
                  <w:tcW w:type="dxa" w:w="22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iCs/>
                      <w:color w:val="64748B"/>
                      <w:sz w:val="19"/>
                      <w:szCs w:val="19"/>
                    </w:rPr>
                    <w:t xml:space="preserve">Valeurs renommées Mai 2026</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Taille du Deal</w:t>
                  </w:r>
                </w:p>
              </w:tc>
              <w:tc>
                <w:tcPr>
                  <w:tcW w:type="dxa" w:w="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center"/>
                  </w:pPr>
                  <w:r>
                    <w:rPr>
                      <w:rFonts w:ascii="Arial" w:cs="Arial" w:eastAsia="Arial" w:hAnsi="Arial"/>
                      <w:b/>
                      <w:bCs/>
                      <w:i w:val="false"/>
                      <w:iCs w:val="false"/>
                      <w:color w:val="1A56DB"/>
                      <w:sz w:val="19"/>
                      <w:szCs w:val="19"/>
                    </w:rPr>
                    <w:t xml:space="preserve">15</w:t>
                  </w:r>
                </w:p>
              </w:tc>
              <w:tc>
                <w:tcPr>
                  <w:tcW w:type="dxa" w:w="4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≤10K$=15 · ≤50K$=12 · ≤100K$=8 · &gt;100K$=4</w:t>
                  </w:r>
                </w:p>
              </w:tc>
              <w:tc>
                <w:tcPr>
                  <w:tcW w:type="dxa" w:w="22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iCs/>
                      <w:color w:val="64748B"/>
                      <w:sz w:val="19"/>
                      <w:szCs w:val="19"/>
                    </w:rPr>
                    <w:t xml:space="preserve">Réduit de 20pts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Type de Client</w:t>
                  </w:r>
                </w:p>
              </w:tc>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center"/>
                  </w:pPr>
                  <w:r>
                    <w:rPr>
                      <w:rFonts w:ascii="Arial" w:cs="Arial" w:eastAsia="Arial" w:hAnsi="Arial"/>
                      <w:b/>
                      <w:bCs/>
                      <w:i w:val="false"/>
                      <w:iCs w:val="false"/>
                      <w:color w:val="1A56DB"/>
                      <w:sz w:val="19"/>
                      <w:szCs w:val="19"/>
                    </w:rPr>
                    <w:t xml:space="preserve">20</w:t>
                  </w:r>
                </w:p>
              </w:tc>
              <w:tc>
                <w:tcPr>
                  <w:tcW w:type="dxa" w:w="4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Gouvernement=20 · Inst. Financière=18 · Corporate=16 · Coopérative=14 · PME=12 · Business=10 · Individuel=8 · Microfinance=6</w:t>
                  </w:r>
                </w:p>
              </w:tc>
              <w:tc>
                <w:tcPr>
                  <w:tcW w:type="dxa" w:w="22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iCs/>
                      <w:color w:val="64748B"/>
                      <w:sz w:val="19"/>
                      <w:szCs w:val="19"/>
                    </w:rPr>
                    <w:t xml:space="preserve">NOUVEAU — ajouté Mai 2026</w:t>
                  </w:r>
                </w:p>
              </w:tc>
            </w:tr>
          </w:tbl>
          <w:p/>
        </w:tc>
      </w:tr>
    </w:tbl>
    <w:p>
      <w:pPr>
        <w:spacing w:after="6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7490" w:val="clear"/>
            <w:tcMar>
              <w:top w:type="dxa" w:w="100"/>
              <w:left w:type="dxa" w:w="200"/>
              <w:bottom w:type="dxa" w:w="100"/>
              <w:right w:type="dxa" w:w="200"/>
            </w:tcMar>
          </w:tcPr>
          <w:p>
            <w:r>
              <w:rPr>
                <w:rFonts w:ascii="Arial" w:cs="Arial" w:eastAsia="Arial" w:hAnsi="Arial"/>
                <w:b/>
                <w:bCs/>
                <w:color w:val="FFFFFF"/>
                <w:sz w:val="22"/>
                <w:szCs w:val="22"/>
              </w:rPr>
              <w:t xml:space="preserve">Formule Niveau de Risque Suggéré — Scoring de Crédit Alternatif</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3"/>
              <w:left w:val="single" w:color="0E7490" w:sz="3"/>
              <w:bottom w:val="single" w:color="0E7490" w:sz="1"/>
              <w:right w:val="single" w:color="0E7490" w:sz="1"/>
            </w:tcBorders>
            <w:shd w:fill="CFFAFE" w:val="clear"/>
            <w:tcMar>
              <w:top w:type="dxa" w:w="120"/>
              <w:left w:type="dxa" w:w="200"/>
              <w:bottom w:type="dxa" w:w="120"/>
              <w:right w:type="dxa" w:w="200"/>
            </w:tcMar>
          </w:tcPr>
          <w:p>
            <w:pPr>
              <w:spacing w:after="60" w:before="0"/>
              <w:jc w:val="left"/>
            </w:pPr>
            <w:r>
              <w:rPr>
                <w:rFonts w:ascii="Arial" w:cs="Arial" w:eastAsia="Arial" w:hAnsi="Arial"/>
                <w:b/>
                <w:bCs/>
                <w:i w:val="false"/>
                <w:iCs w:val="false"/>
                <w:color w:val="0E7490"/>
                <w:sz w:val="19"/>
                <w:szCs w:val="19"/>
              </w:rPr>
              <w:t xml:space="preserve">Champ Formule : Suggested_Risk_Level__c sur Compte — Formule (Texte) — Lecture Seule</w:t>
            </w:r>
          </w:p>
          <w:p>
            <w:pPr>
              <w:spacing w:after="60" w:before="0"/>
              <w:jc w:val="left"/>
            </w:pPr>
            <w:r>
              <w:rPr>
                <w:rFonts w:ascii="Arial" w:cs="Arial" w:eastAsia="Arial" w:hAnsi="Arial"/>
                <w:b w:val="false"/>
                <w:bCs w:val="false"/>
                <w:i w:val="false"/>
                <w:iCs w:val="false"/>
                <w:color w:val="000000"/>
                <w:sz w:val="18"/>
                <w:szCs w:val="18"/>
              </w:rPr>
              <w:t xml:space="preserve">Calcule automatiquement une classification de risque suggérée pour les emprunteurs du secteur informel basée sur 4 entrées alternatives : Informal_Sector__c, Mobile_Money_Activity__c, Utility_Payment_History__c, Market_Association_Member__c.</w:t>
            </w:r>
          </w:p>
          <w:p>
            <w:pPr>
              <w:spacing w:after="60" w:before="0"/>
              <w:jc w:val="left"/>
            </w:pPr>
            <w:r>
              <w:rPr>
                <w:rFonts w:ascii="Arial" w:cs="Arial" w:eastAsia="Arial" w:hAnsi="Arial"/>
                <w:b w:val="false"/>
                <w:bCs w:val="false"/>
                <w:i/>
                <w:iCs/>
                <w:color w:val="000000"/>
                <w:sz w:val="18"/>
                <w:szCs w:val="18"/>
              </w:rPr>
              <w:t xml:space="preserve">Sorties : Suggéré : RISQUE FAIBLE · FAIBLE-MOYEN · MOYEN · ÉLEVÉ · TRÈS ÉLEVÉ · N/A — Utiliser le champ Niveau de Risque · Données Insuffisantes</w:t>
            </w:r>
          </w:p>
          <w:p>
            <w:pPr>
              <w:spacing w:after="0" w:before="0"/>
              <w:jc w:val="left"/>
            </w:pPr>
            <w:r>
              <w:rPr>
                <w:rFonts w:ascii="Arial" w:cs="Arial" w:eastAsia="Arial" w:hAnsi="Arial"/>
                <w:b/>
                <w:bCs/>
                <w:i w:val="false"/>
                <w:iCs w:val="false"/>
                <w:color w:val="000000"/>
                <w:sz w:val="18"/>
                <w:szCs w:val="18"/>
              </w:rPr>
              <w:t xml:space="preserve">Zéro impact sur les flux — purement lecture seule. Le Chargé de Crédit lit la suggestion et définit le Niveau de Risque réel selon son jugement professionnel.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B2D8E" w:val="clear"/>
            <w:tcMar>
              <w:top w:type="dxa" w:w="160"/>
              <w:left w:type="dxa" w:w="260"/>
              <w:bottom w:type="dxa" w:w="160"/>
              <w:right w:type="dxa" w:w="260"/>
            </w:tcMar>
          </w:tcPr>
          <w:p>
            <w:pPr>
              <w:spacing w:after="40" w:before="0"/>
            </w:pPr>
            <w:r>
              <w:rPr>
                <w:rFonts w:ascii="Arial" w:cs="Arial" w:eastAsia="Arial" w:hAnsi="Arial"/>
                <w:b/>
                <w:bCs/>
                <w:color w:val="FFFFFF"/>
                <w:sz w:val="30"/>
                <w:szCs w:val="30"/>
              </w:rPr>
              <w:t xml:space="preserve">SECTION 6 — PROCESSUS D'APPROBATION</w:t>
            </w:r>
          </w:p>
          <w:p>
            <w:pPr>
              <w:spacing w:after="0" w:before="0"/>
            </w:pPr>
            <w:r>
              <w:rPr>
                <w:rFonts w:ascii="Arial" w:cs="Arial" w:eastAsia="Arial" w:hAnsi="Arial"/>
                <w:color w:val="CCCCCC"/>
                <w:sz w:val="18"/>
                <w:szCs w:val="18"/>
              </w:rPr>
              <w:t xml:space="preserve">3 Processus d'Approbation — logique de routage, approbateurs et critères d'entrée</w:t>
            </w:r>
          </w:p>
        </w:tc>
      </w:tr>
    </w:tbl>
    <w:p>
      <w:pPr>
        <w:spacing w:after="6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DB" w:val="clear"/>
            <w:tcMar>
              <w:top w:type="dxa" w:w="100"/>
              <w:left w:type="dxa" w:w="200"/>
              <w:bottom w:type="dxa" w:w="100"/>
              <w:right w:type="dxa" w:w="200"/>
            </w:tcMar>
          </w:tcPr>
          <w:p>
            <w:r>
              <w:rPr>
                <w:rFonts w:ascii="Arial" w:cs="Arial" w:eastAsia="Arial" w:hAnsi="Arial"/>
                <w:b/>
                <w:bCs/>
                <w:color w:val="FFFFFF"/>
                <w:sz w:val="20"/>
                <w:szCs w:val="20"/>
              </w:rPr>
              <w:t xml:space="preserve">CF360 Processus Approbation Dossier de Financement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Objet</w:t>
            </w:r>
          </w:p>
        </w:tc>
        <w:tc>
          <w:tcPr>
            <w:tcW w:type="dxa" w:w="40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Critère d'Entrée</w:t>
            </w:r>
          </w:p>
        </w:tc>
        <w:tc>
          <w:tcPr>
            <w:tcW w:type="dxa" w:w="40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Dossier de Financement</w:t>
            </w:r>
          </w:p>
        </w:tc>
        <w:tc>
          <w:tcPr>
            <w:tcW w:type="dxa" w:w="40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Étape = Révision Crédit</w:t>
            </w:r>
          </w:p>
        </w:tc>
        <w:tc>
          <w:tcPr>
            <w:tcW w:type="dxa" w:w="40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Routage</w:t>
            </w:r>
          </w:p>
        </w:tc>
        <w:tc>
          <w:tcPr>
            <w:tcW w:type="dxa" w:w="8160"/>
            <w:gridSpan w:val="2"/>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pStyle w:val="ListParagraph"/>
              <w:numPr>
                <w:ilvl w:val="0"/>
                <w:numId w:val="2"/>
              </w:numPr>
              <w:spacing w:after="30" w:before="30"/>
            </w:pPr>
            <w:r>
              <w:rPr>
                <w:rFonts w:ascii="Arial" w:cs="Arial" w:eastAsia="Arial" w:hAnsi="Arial"/>
                <w:b w:val="false"/>
                <w:bCs w:val="false"/>
                <w:color w:val="000000"/>
                <w:sz w:val="19"/>
                <w:szCs w:val="19"/>
              </w:rPr>
              <w:t xml:space="preserve">Niveau 1 — Ngozi Adeyemi (Chargée de Crédit Sénior) : Montant Total ≤ 500 000 $ ET Indicateur Comité = Faux</w:t>
            </w:r>
          </w:p>
          <w:p>
            <w:pPr>
              <w:pStyle w:val="ListParagraph"/>
              <w:numPr>
                <w:ilvl w:val="0"/>
                <w:numId w:val="2"/>
              </w:numPr>
              <w:spacing w:after="30" w:before="30"/>
            </w:pPr>
            <w:r>
              <w:rPr>
                <w:rFonts w:ascii="Arial" w:cs="Arial" w:eastAsia="Arial" w:hAnsi="Arial"/>
                <w:b w:val="false"/>
                <w:bCs w:val="false"/>
                <w:color w:val="000000"/>
                <w:sz w:val="19"/>
                <w:szCs w:val="19"/>
              </w:rPr>
              <w:t xml:space="preserve">Niveau 2 — Kwame Asante (Directeur des Risques) : Montant Total 500K$-2M$ ET Indicateur Comité = Faux</w:t>
            </w:r>
          </w:p>
          <w:p>
            <w:pPr>
              <w:pStyle w:val="ListParagraph"/>
              <w:numPr>
                <w:ilvl w:val="0"/>
                <w:numId w:val="2"/>
              </w:numPr>
              <w:spacing w:after="30" w:before="30"/>
            </w:pPr>
            <w:r>
              <w:rPr>
                <w:rFonts w:ascii="Arial" w:cs="Arial" w:eastAsia="Arial" w:hAnsi="Arial"/>
                <w:b w:val="false"/>
                <w:bCs w:val="false"/>
                <w:color w:val="000000"/>
                <w:sz w:val="19"/>
                <w:szCs w:val="19"/>
              </w:rPr>
              <w:t xml:space="preserve">Niveau 3 — Fatima Diallo (Directrice Financière) : Tous deals &gt; 2M$ OU Indicateur Comité = Vrai — route directement quel que soit le montant</w:t>
            </w:r>
          </w:p>
        </w:tc>
      </w:tr>
    </w:tbl>
    <w:p>
      <w:pPr>
        <w:spacing w:after="4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4532D" w:val="clear"/>
            <w:tcMar>
              <w:top w:type="dxa" w:w="100"/>
              <w:left w:type="dxa" w:w="200"/>
              <w:bottom w:type="dxa" w:w="100"/>
              <w:right w:type="dxa" w:w="200"/>
            </w:tcMar>
          </w:tcPr>
          <w:p>
            <w:r>
              <w:rPr>
                <w:rFonts w:ascii="Arial" w:cs="Arial" w:eastAsia="Arial" w:hAnsi="Arial"/>
                <w:b/>
                <w:bCs/>
                <w:color w:val="FFFFFF"/>
                <w:sz w:val="20"/>
                <w:szCs w:val="20"/>
              </w:rPr>
              <w:t xml:space="preserve">CF360 Processus Approbation Mémo de Crédit V3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Objet</w:t>
            </w:r>
          </w:p>
        </w:tc>
        <w:tc>
          <w:tcPr>
            <w:tcW w:type="dxa" w:w="40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Critère d'Entrée</w:t>
            </w:r>
          </w:p>
        </w:tc>
        <w:tc>
          <w:tcPr>
            <w:tcW w:type="dxa" w:w="40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Mémo de Crédit</w:t>
            </w:r>
          </w:p>
        </w:tc>
        <w:tc>
          <w:tcPr>
            <w:tcW w:type="dxa" w:w="40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Statut Mémo = Soumis</w:t>
            </w:r>
          </w:p>
        </w:tc>
        <w:tc>
          <w:tcPr>
            <w:tcW w:type="dxa" w:w="40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Routage</w:t>
            </w:r>
          </w:p>
        </w:tc>
        <w:tc>
          <w:tcPr>
            <w:tcW w:type="dxa" w:w="8160"/>
            <w:gridSpan w:val="2"/>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pStyle w:val="ListParagraph"/>
              <w:numPr>
                <w:ilvl w:val="0"/>
                <w:numId w:val="2"/>
              </w:numPr>
              <w:spacing w:after="30" w:before="30"/>
            </w:pPr>
            <w:r>
              <w:rPr>
                <w:rFonts w:ascii="Arial" w:cs="Arial" w:eastAsia="Arial" w:hAnsi="Arial"/>
                <w:b w:val="false"/>
                <w:bCs w:val="false"/>
                <w:color w:val="000000"/>
                <w:sz w:val="19"/>
                <w:szCs w:val="19"/>
              </w:rPr>
              <w:t xml:space="preserve">Niveau 1 — Route vers l'approbateur Chargé de Crédit assigné</w:t>
            </w:r>
          </w:p>
          <w:p>
            <w:pPr>
              <w:pStyle w:val="ListParagraph"/>
              <w:numPr>
                <w:ilvl w:val="0"/>
                <w:numId w:val="2"/>
              </w:numPr>
              <w:spacing w:after="30" w:before="30"/>
            </w:pPr>
            <w:r>
              <w:rPr>
                <w:rFonts w:ascii="Arial" w:cs="Arial" w:eastAsia="Arial" w:hAnsi="Arial"/>
                <w:b w:val="false"/>
                <w:bCs w:val="false"/>
                <w:color w:val="000000"/>
                <w:sz w:val="19"/>
                <w:szCs w:val="19"/>
              </w:rPr>
              <w:t xml:space="preserve">Niveau 2 — Route vers la Chargée de Crédit Sénior (Ngozi Adeyemi)</w:t>
            </w:r>
          </w:p>
          <w:p>
            <w:pPr>
              <w:pStyle w:val="ListParagraph"/>
              <w:numPr>
                <w:ilvl w:val="0"/>
                <w:numId w:val="2"/>
              </w:numPr>
              <w:spacing w:after="30" w:before="30"/>
            </w:pPr>
            <w:r>
              <w:rPr>
                <w:rFonts w:ascii="Arial" w:cs="Arial" w:eastAsia="Arial" w:hAnsi="Arial"/>
                <w:b w:val="false"/>
                <w:bCs w:val="false"/>
                <w:color w:val="000000"/>
                <w:sz w:val="19"/>
                <w:szCs w:val="19"/>
              </w:rPr>
              <w:t xml:space="preserve">Niveau 3 — Route vers la DFI (Fatima Diallo) — L'approbation finale définit Statut Mémo = Approuvé</w:t>
            </w:r>
          </w:p>
        </w:tc>
      </w:tr>
    </w:tbl>
    <w:p>
      <w:pPr>
        <w:spacing w:after="4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8920A" w:val="clear"/>
            <w:tcMar>
              <w:top w:type="dxa" w:w="100"/>
              <w:left w:type="dxa" w:w="200"/>
              <w:bottom w:type="dxa" w:w="100"/>
              <w:right w:type="dxa" w:w="200"/>
            </w:tcMar>
          </w:tcPr>
          <w:p>
            <w:r>
              <w:rPr>
                <w:rFonts w:ascii="Arial" w:cs="Arial" w:eastAsia="Arial" w:hAnsi="Arial"/>
                <w:b/>
                <w:bCs/>
                <w:color w:val="FFFFFF"/>
                <w:sz w:val="20"/>
                <w:szCs w:val="20"/>
              </w:rPr>
              <w:t xml:space="preserve">CF360 Processus Approbation Exception de Crédit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Objet</w:t>
            </w:r>
          </w:p>
        </w:tc>
        <w:tc>
          <w:tcPr>
            <w:tcW w:type="dxa" w:w="40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Critère d'Entrée</w:t>
            </w:r>
          </w:p>
        </w:tc>
        <w:tc>
          <w:tcPr>
            <w:tcW w:type="dxa" w:w="40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Exception de Crédit</w:t>
            </w:r>
          </w:p>
        </w:tc>
        <w:tc>
          <w:tcPr>
            <w:tcW w:type="dxa" w:w="40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Statut Exception = Brouillon — Soumettre pour Approbation</w:t>
            </w:r>
          </w:p>
        </w:tc>
        <w:tc>
          <w:tcPr>
            <w:tcW w:type="dxa" w:w="40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Routage</w:t>
            </w:r>
          </w:p>
        </w:tc>
        <w:tc>
          <w:tcPr>
            <w:tcW w:type="dxa" w:w="8160"/>
            <w:gridSpan w:val="2"/>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pStyle w:val="ListParagraph"/>
              <w:numPr>
                <w:ilvl w:val="0"/>
                <w:numId w:val="2"/>
              </w:numPr>
              <w:spacing w:after="30" w:before="30"/>
            </w:pPr>
            <w:r>
              <w:rPr>
                <w:rFonts w:ascii="Arial" w:cs="Arial" w:eastAsia="Arial" w:hAnsi="Arial"/>
                <w:b w:val="false"/>
                <w:bCs w:val="false"/>
                <w:color w:val="000000"/>
                <w:sz w:val="19"/>
                <w:szCs w:val="19"/>
              </w:rPr>
              <w:t xml:space="preserve">Niveau unique — Therence Ngoa (Administrateur Système) approuve toutes les exceptions</w:t>
            </w:r>
          </w:p>
          <w:p>
            <w:pPr>
              <w:pStyle w:val="ListParagraph"/>
              <w:numPr>
                <w:ilvl w:val="0"/>
                <w:numId w:val="2"/>
              </w:numPr>
              <w:spacing w:after="30" w:before="30"/>
            </w:pPr>
            <w:r>
              <w:rPr>
                <w:rFonts w:ascii="Arial" w:cs="Arial" w:eastAsia="Arial" w:hAnsi="Arial"/>
                <w:b w:val="false"/>
                <w:bCs w:val="false"/>
                <w:color w:val="000000"/>
                <w:sz w:val="19"/>
                <w:szCs w:val="19"/>
              </w:rPr>
              <w:t xml:space="preserve">Prend en charge : Dépassement Limite Exposition · Dérogation Document · Dérogation Violation Covenant · Dérogation Politique · Autre</w:t>
            </w:r>
          </w:p>
          <w:p>
            <w:pPr>
              <w:pStyle w:val="ListParagraph"/>
              <w:numPr>
                <w:ilvl w:val="0"/>
                <w:numId w:val="2"/>
              </w:numPr>
              <w:spacing w:after="30" w:before="30"/>
            </w:pPr>
            <w:r>
              <w:rPr>
                <w:rFonts w:ascii="Arial" w:cs="Arial" w:eastAsia="Arial" w:hAnsi="Arial"/>
                <w:b w:val="false"/>
                <w:bCs w:val="false"/>
                <w:color w:val="000000"/>
                <w:sz w:val="19"/>
                <w:szCs w:val="19"/>
              </w:rPr>
              <w:t xml:space="preserve">À l'approbation : Exposure_Exception_Approved__c coché automatiquement par l'action d'approbation</w:t>
            </w:r>
          </w:p>
        </w:tc>
      </w:tr>
    </w:tbl>
    <w:p>
      <w:pPr>
        <w:spacing w:after="4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160"/>
              <w:left w:type="dxa" w:w="260"/>
              <w:bottom w:type="dxa" w:w="160"/>
              <w:right w:type="dxa" w:w="260"/>
            </w:tcMar>
          </w:tcPr>
          <w:p>
            <w:pPr>
              <w:spacing w:after="40" w:before="0"/>
            </w:pPr>
            <w:r>
              <w:rPr>
                <w:rFonts w:ascii="Arial" w:cs="Arial" w:eastAsia="Arial" w:hAnsi="Arial"/>
                <w:b/>
                <w:bCs/>
                <w:color w:val="FFFFFF"/>
                <w:sz w:val="30"/>
                <w:szCs w:val="30"/>
              </w:rPr>
              <w:t xml:space="preserve">SECTION 7 — RÔLES &amp; PERMISSIONS</w:t>
            </w:r>
          </w:p>
          <w:p>
            <w:pPr>
              <w:spacing w:after="0" w:before="0"/>
            </w:pPr>
            <w:r>
              <w:rPr>
                <w:rFonts w:ascii="Arial" w:cs="Arial" w:eastAsia="Arial" w:hAnsi="Arial"/>
                <w:color w:val="CCCCCC"/>
                <w:sz w:val="18"/>
                <w:szCs w:val="18"/>
              </w:rPr>
              <w:t xml:space="preserve">17 Rôles · 13 Ensembles de Permissions · 16 Groupes PSG</w:t>
            </w:r>
          </w:p>
        </w:tc>
      </w:tr>
    </w:tbl>
    <w:p>
      <w:pPr>
        <w:spacing w:after="6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80"/>
        <w:gridCol w:w="2080"/>
        <w:gridCol w:w="1800"/>
      </w:tblGrid>
      <w:tr>
        <w:tc>
          <w:tcPr>
            <w:tcW w:type="dxa" w:w="20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Rôle</w:t>
            </w:r>
          </w:p>
        </w:tc>
        <w:tc>
          <w:tcPr>
            <w:tcW w:type="dxa" w:w="348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Capacités Principales</w:t>
            </w:r>
          </w:p>
        </w:tc>
        <w:tc>
          <w:tcPr>
            <w:tcW w:type="dxa" w:w="208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Ne Peut Pas</w:t>
            </w:r>
          </w:p>
        </w:tc>
        <w:tc>
          <w:tcPr>
            <w:tcW w:type="dxa" w:w="18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Approuve</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Administrateur Système
(Therence Ngoa)</w:t>
            </w:r>
          </w:p>
        </w:tc>
        <w:tc>
          <w:tcPr>
            <w:tcW w:type="dxa" w:w="34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Accès complet à tous les 12 objets. Gérer utilisateurs, rôles, flux, processus d'approbation. Exécuter tous les rapports.</w:t>
            </w:r>
          </w:p>
        </w:tc>
        <w:tc>
          <w:tcPr>
            <w:tcW w:type="dxa" w:w="20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Rien — accès complet à la plateforme</w:t>
            </w:r>
          </w:p>
        </w:tc>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14532D"/>
                <w:sz w:val="19"/>
                <w:szCs w:val="19"/>
              </w:rPr>
              <w:t xml:space="preserve">Toutes les Exceptions de Crédit</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Directrice Financière
(Fatima Diallo)</w:t>
            </w:r>
          </w:p>
        </w:tc>
        <w:tc>
          <w:tcPr>
            <w:tcW w:type="dxa" w:w="34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Approuver/rejeter Dossier au Niveau 3. Voir portefeuille complet. Exécuter Tableau de Bord Resp. Portefeuille.</w:t>
            </w:r>
          </w:p>
        </w:tc>
        <w:tc>
          <w:tcPr>
            <w:tcW w:type="dxa" w:w="20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Ne peut pas créer/modifier les dossiers de crédit. Pas d'accès Setup.</w:t>
            </w:r>
          </w:p>
        </w:tc>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14532D"/>
                <w:sz w:val="19"/>
                <w:szCs w:val="19"/>
              </w:rPr>
              <w:t xml:space="preserve">Dossier Niveau 3 (&gt;2M$ ou Comité)</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Directeur des Risques
(Kwame Asante)</w:t>
            </w:r>
          </w:p>
        </w:tc>
        <w:tc>
          <w:tcPr>
            <w:tcW w:type="dxa" w:w="34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Approuver/rejeter Dossier Niveau 2. Approuver Mémos de Crédit Niveau 3. Voir tous les objets.</w:t>
            </w:r>
          </w:p>
        </w:tc>
        <w:tc>
          <w:tcPr>
            <w:tcW w:type="dxa" w:w="20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Ne peut pas supprimer les Comptes. Pas d'accès Setup.</w:t>
            </w:r>
          </w:p>
        </w:tc>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14532D"/>
                <w:sz w:val="19"/>
                <w:szCs w:val="19"/>
              </w:rPr>
              <w:t xml:space="preserve">Dossier Niveau 2 (500K$-2M$)</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Chargée de Crédit Sénior
(Ngozi Adeyemi)</w:t>
            </w:r>
          </w:p>
        </w:tc>
        <w:tc>
          <w:tcPr>
            <w:tcW w:type="dxa" w:w="34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Approuver Mémos de Crédit. Accès modification complet sur tous les objets de crédit.</w:t>
            </w:r>
          </w:p>
        </w:tc>
        <w:tc>
          <w:tcPr>
            <w:tcW w:type="dxa" w:w="20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Ne peut pas approuver Dossier au-dessus du seuil Niveau 2.</w:t>
            </w:r>
          </w:p>
        </w:tc>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14532D"/>
                <w:sz w:val="19"/>
                <w:szCs w:val="19"/>
              </w:rPr>
              <w:t xml:space="preserve">Dossier Niveau 1 (≤500K$)</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Chargé de Crédit
(Wanjiru Kamau)</w:t>
            </w:r>
          </w:p>
        </w:tc>
        <w:tc>
          <w:tcPr>
            <w:tcW w:type="dxa" w:w="34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Créer Dossiers, Mémos, Facilités, Collatéraux, Covenants, Documents. Soumettre les mémos.</w:t>
            </w:r>
          </w:p>
        </w:tc>
        <w:tc>
          <w:tcPr>
            <w:tcW w:type="dxa" w:w="20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Ne peut pas approuver ses propres mémos. Ne peut pas dépasser les limites d'exposition.</w:t>
            </w:r>
          </w:p>
        </w:tc>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14532D"/>
                <w:sz w:val="19"/>
                <w:szCs w:val="19"/>
              </w:rPr>
              <w:t xml:space="preserve">Rien — soumet uniquement</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Chargé de Relation</w:t>
            </w:r>
          </w:p>
        </w:tc>
        <w:tc>
          <w:tcPr>
            <w:tcW w:type="dxa" w:w="34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Créer/modifier Comptes et Opportunités. Créer Dossiers en Brouillon/Prospect. Télécharger documents.</w:t>
            </w:r>
          </w:p>
        </w:tc>
        <w:tc>
          <w:tcPr>
            <w:tcW w:type="dxa" w:w="20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Ne peut pas avancer Dossier au-delà de Proposition. Ne peut pas écrire les Mémos.</w:t>
            </w:r>
          </w:p>
        </w:tc>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14532D"/>
                <w:sz w:val="19"/>
                <w:szCs w:val="19"/>
              </w:rPr>
              <w:t xml:space="preserve">Rien</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Officier de Conformité</w:t>
            </w:r>
          </w:p>
        </w:tc>
        <w:tc>
          <w:tcPr>
            <w:tcW w:type="dxa" w:w="34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Définir Statut KYC. Vérifier/rejeter Documents. Exécuter Tableau de Bord Conformité.</w:t>
            </w:r>
          </w:p>
        </w:tc>
        <w:tc>
          <w:tcPr>
            <w:tcW w:type="dxa" w:w="20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Ne peut pas créer/approuver Dossiers. Ne peut pas écrire les Mémos.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14532D"/>
                <w:sz w:val="19"/>
                <w:szCs w:val="19"/>
              </w:rPr>
              <w:t xml:space="preserve">Rien</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Responsable de Portefeuille</w:t>
            </w:r>
          </w:p>
        </w:tc>
        <w:tc>
          <w:tcPr>
            <w:tcW w:type="dxa" w:w="34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Surveiller tous les Dossiers et Facilités. Exécuter Tableau de Bord Portefeuille.</w:t>
            </w:r>
          </w:p>
        </w:tc>
        <w:tc>
          <w:tcPr>
            <w:tcW w:type="dxa" w:w="20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Ne peut pas créer de nouveaux deals. Ne peut pas approuver.</w:t>
            </w:r>
          </w:p>
        </w:tc>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14532D"/>
                <w:sz w:val="19"/>
                <w:szCs w:val="19"/>
              </w:rPr>
              <w:t xml:space="preserve">Rien</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Auditeur Interne</w:t>
            </w:r>
          </w:p>
        </w:tc>
        <w:tc>
          <w:tcPr>
            <w:tcW w:type="dxa" w:w="34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Accès lecture seule à tous les 12 objets. Voir Journaux d'Audit et Historique d'Approbation.</w:t>
            </w:r>
          </w:p>
        </w:tc>
        <w:tc>
          <w:tcPr>
            <w:tcW w:type="dxa" w:w="20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Ne peut créer, modifier ou supprimer aucun enregistrement.</w:t>
            </w:r>
          </w:p>
        </w:tc>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14532D"/>
                <w:sz w:val="19"/>
                <w:szCs w:val="19"/>
              </w:rPr>
              <w:t xml:space="preserve">Rien</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Responsable d'Agence</w:t>
            </w:r>
          </w:p>
        </w:tc>
        <w:tc>
          <w:tcPr>
            <w:tcW w:type="dxa" w:w="34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Visibilité et modification complètes au sein de l'agence. Surveiller portefeuille d'agence.</w:t>
            </w:r>
          </w:p>
        </w:tc>
        <w:tc>
          <w:tcPr>
            <w:tcW w:type="dxa" w:w="20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Ne peut pas approuver au-dessus du Niveau 1.</w:t>
            </w:r>
          </w:p>
        </w:tc>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14532D"/>
                <w:sz w:val="19"/>
                <w:szCs w:val="19"/>
              </w:rPr>
              <w:t xml:space="preserve">Niveau 1 (deals d'agence)</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Officier Opérations</w:t>
            </w:r>
          </w:p>
        </w:tc>
        <w:tc>
          <w:tcPr>
            <w:tcW w:type="dxa" w:w="34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Enregistrer les décaissements. Mettre à jour Date de Décaissement et Solde Restant sur Facilité.</w:t>
            </w:r>
          </w:p>
        </w:tc>
        <w:tc>
          <w:tcPr>
            <w:tcW w:type="dxa" w:w="20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Ne peut pas créer Dossiers. Ne peut pas écrire Mémos.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14532D"/>
                <w:sz w:val="19"/>
                <w:szCs w:val="19"/>
              </w:rPr>
              <w:t xml:space="preserve">Rien</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Agent Terrain</w:t>
            </w:r>
          </w:p>
        </w:tc>
        <w:tc>
          <w:tcPr>
            <w:tcW w:type="dxa" w:w="34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Collecter infos emprunteur sur le terrain. Créer/mettre à jour Comptes. Télécharger Documents.</w:t>
            </w:r>
          </w:p>
        </w:tc>
        <w:tc>
          <w:tcPr>
            <w:tcW w:type="dxa" w:w="20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Ne peut approuver ou soumettre quoi que ce soit. Ne peut pas voir les Scores de Risque.</w:t>
            </w:r>
          </w:p>
        </w:tc>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14532D"/>
                <w:sz w:val="19"/>
                <w:szCs w:val="19"/>
              </w:rPr>
              <w:t xml:space="preserve">Rien</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Officier Microfinance</w:t>
            </w:r>
          </w:p>
        </w:tc>
        <w:tc>
          <w:tcPr>
            <w:tcW w:type="dxa" w:w="34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Gérer petits prêts pour emprunteurs informels/groupe. Créer Structures d'Emprunt de groupe.</w:t>
            </w:r>
          </w:p>
        </w:tc>
        <w:tc>
          <w:tcPr>
            <w:tcW w:type="dxa" w:w="20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Ne peut pas approuver au-dessus des seuils microfinance.</w:t>
            </w:r>
          </w:p>
        </w:tc>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14532D"/>
                <w:sz w:val="19"/>
                <w:szCs w:val="19"/>
              </w:rPr>
              <w:t xml:space="preserve">Rien</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Vue Régulateur</w:t>
            </w:r>
          </w:p>
        </w:tc>
        <w:tc>
          <w:tcPr>
            <w:tcW w:type="dxa" w:w="34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Lecture seule : conformité KYC, statut covenant, complétude documents, piste d'audit via Tableau de Bord Régulateur.</w:t>
            </w:r>
          </w:p>
        </w:tc>
        <w:tc>
          <w:tcPr>
            <w:tcW w:type="dxa" w:w="20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Ne peut pas voir montants financiers, Scores de Risque, contenu des Mémos de Crédit.</w:t>
            </w:r>
          </w:p>
        </w:tc>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14532D"/>
                <w:sz w:val="19"/>
                <w:szCs w:val="19"/>
              </w:rPr>
              <w:t xml:space="preserve">Rien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7490" w:val="clear"/>
            <w:tcMar>
              <w:top w:type="dxa" w:w="160"/>
              <w:left w:type="dxa" w:w="260"/>
              <w:bottom w:type="dxa" w:w="160"/>
              <w:right w:type="dxa" w:w="260"/>
            </w:tcMar>
          </w:tcPr>
          <w:p>
            <w:pPr>
              <w:spacing w:after="40" w:before="0"/>
            </w:pPr>
            <w:r>
              <w:rPr>
                <w:rFonts w:ascii="Arial" w:cs="Arial" w:eastAsia="Arial" w:hAnsi="Arial"/>
                <w:b/>
                <w:bCs/>
                <w:color w:val="FFFFFF"/>
                <w:sz w:val="30"/>
                <w:szCs w:val="30"/>
              </w:rPr>
              <w:t xml:space="preserve">SECTION 8 — DEVISES &amp; MARCHÉS</w:t>
            </w:r>
          </w:p>
          <w:p>
            <w:pPr>
              <w:spacing w:after="0" w:before="0"/>
            </w:pPr>
            <w:r>
              <w:rPr>
                <w:rFonts w:ascii="Arial" w:cs="Arial" w:eastAsia="Arial" w:hAnsi="Arial"/>
                <w:color w:val="CCCCCC"/>
                <w:sz w:val="18"/>
                <w:szCs w:val="18"/>
              </w:rPr>
              <w:t xml:space="preserve">10 Devises Actives · 11 Marchés · Automatisation Cascade Complète</w:t>
            </w:r>
          </w:p>
        </w:tc>
      </w:tr>
    </w:tbl>
    <w:p>
      <w:pPr>
        <w:spacing w:after="6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3"/>
              <w:left w:val="single" w:color="14532D" w:sz="3"/>
              <w:bottom w:val="single" w:color="14532D" w:sz="1"/>
              <w:right w:val="single" w:color="14532D" w:sz="1"/>
            </w:tcBorders>
            <w:shd w:fill="DCFCE7" w:val="clear"/>
            <w:tcMar>
              <w:top w:type="dxa" w:w="120"/>
              <w:left w:type="dxa" w:w="200"/>
              <w:bottom w:type="dxa" w:w="120"/>
              <w:right w:type="dxa" w:w="200"/>
            </w:tcMar>
          </w:tcPr>
          <w:p>
            <w:pPr>
              <w:spacing w:after="60" w:before="0"/>
              <w:jc w:val="left"/>
            </w:pPr>
            <w:r>
              <w:rPr>
                <w:rFonts w:ascii="Arial" w:cs="Arial" w:eastAsia="Arial" w:hAnsi="Arial"/>
                <w:b/>
                <w:bCs/>
                <w:i w:val="false"/>
                <w:iCs w:val="false"/>
                <w:color w:val="14532D"/>
                <w:sz w:val="19"/>
                <w:szCs w:val="19"/>
              </w:rPr>
              <w:t xml:space="preserve">Cascade de Devises — Zéro Sélection Manuelle</w:t>
            </w:r>
          </w:p>
          <w:p>
            <w:pPr>
              <w:spacing w:after="0" w:before="0"/>
              <w:jc w:val="left"/>
            </w:pPr>
            <w:r>
              <w:rPr>
                <w:rFonts w:ascii="Arial" w:cs="Arial" w:eastAsia="Arial" w:hAnsi="Arial"/>
                <w:b w:val="false"/>
                <w:bCs w:val="false"/>
                <w:i w:val="false"/>
                <w:iCs w:val="false"/>
                <w:color w:val="000000"/>
                <w:sz w:val="18"/>
                <w:szCs w:val="18"/>
              </w:rPr>
              <w:t xml:space="preserve">Quand un Chargé de Relation sélectionne un pays dans le champ Marché Principal sur un Compte, le système règle automatiquement la devise correcte sur le Compte, puis sur l'Opportunité, puis sur le Dossier de Financement, puis sur la Facilité de Crédit, et enfin sur le Collatéral. Cinq flux travaillant en séquence — le banquier ne sélectionne jamais une devise manuellement.</w:t>
            </w:r>
          </w:p>
        </w:tc>
      </w:tr>
    </w:tbl>
    <w:p>
      <w:pPr>
        <w:spacing w:after="4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1200"/>
        <w:gridCol w:w="800"/>
        <w:gridCol w:w="4660"/>
      </w:tblGrid>
      <w:tr>
        <w:tc>
          <w:tcPr>
            <w:tcW w:type="dxa" w:w="7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Code</w:t>
            </w:r>
          </w:p>
        </w:tc>
        <w:tc>
          <w:tcPr>
            <w:tcW w:type="dxa" w:w="20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Nom de la Devise</w:t>
            </w:r>
          </w:p>
        </w:tc>
        <w:tc>
          <w:tcPr>
            <w:tcW w:type="dxa" w:w="12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center"/>
            </w:pPr>
            <w:r>
              <w:rPr>
                <w:rFonts w:ascii="Arial" w:cs="Arial" w:eastAsia="Arial" w:hAnsi="Arial"/>
                <w:b/>
                <w:bCs/>
                <w:i w:val="false"/>
                <w:iCs w:val="false"/>
                <w:color w:val="FFFFFF"/>
                <w:sz w:val="19"/>
                <w:szCs w:val="19"/>
              </w:rPr>
              <w:t xml:space="preserve">Taux vs USD</w:t>
            </w:r>
          </w:p>
        </w:tc>
        <w:tc>
          <w:tcPr>
            <w:tcW w:type="dxa" w:w="8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center"/>
            </w:pPr>
            <w:r>
              <w:rPr>
                <w:rFonts w:ascii="Arial" w:cs="Arial" w:eastAsia="Arial" w:hAnsi="Arial"/>
                <w:b/>
                <w:bCs/>
                <w:i w:val="false"/>
                <w:iCs w:val="false"/>
                <w:color w:val="FFFFFF"/>
                <w:sz w:val="19"/>
                <w:szCs w:val="19"/>
              </w:rPr>
              <w:t xml:space="preserve">Décimales</w:t>
            </w:r>
          </w:p>
        </w:tc>
        <w:tc>
          <w:tcPr>
            <w:tcW w:type="dxa" w:w="466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Pays</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1A56DB"/>
                <w:sz w:val="19"/>
                <w:szCs w:val="19"/>
              </w:rPr>
              <w:t xml:space="preserve">USD</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Dollar Américain</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center"/>
            </w:pPr>
            <w:r>
              <w:rPr>
                <w:rFonts w:ascii="Arial" w:cs="Arial" w:eastAsia="Arial" w:hAnsi="Arial"/>
                <w:b w:val="false"/>
                <w:bCs w:val="false"/>
                <w:i w:val="false"/>
                <w:iCs w:val="false"/>
                <w:color w:val="000000"/>
                <w:sz w:val="19"/>
                <w:szCs w:val="19"/>
              </w:rPr>
              <w:t xml:space="preserve">1,00</w:t>
            </w:r>
          </w:p>
        </w:tc>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center"/>
            </w:pPr>
            <w:r>
              <w:rPr>
                <w:rFonts w:ascii="Arial" w:cs="Arial" w:eastAsia="Arial" w:hAnsi="Arial"/>
                <w:b w:val="false"/>
                <w:bCs w:val="false"/>
                <w:i w:val="false"/>
                <w:iCs w:val="false"/>
                <w:color w:val="000000"/>
                <w:sz w:val="19"/>
                <w:szCs w:val="19"/>
              </w:rPr>
              <w:t xml:space="preserve">2</w:t>
            </w:r>
          </w:p>
        </w:tc>
        <w:tc>
          <w:tcPr>
            <w:tcW w:type="dxa" w:w="46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Devise principale — deals internationaux</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1A56DB"/>
                <w:sz w:val="19"/>
                <w:szCs w:val="19"/>
              </w:rPr>
              <w:t xml:space="preserve">XOF</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CFA Franc (BCEAO)</w:t>
            </w:r>
          </w:p>
        </w:tc>
        <w:tc>
          <w:tcPr>
            <w:tcW w:type="dxa" w:w="1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center"/>
            </w:pPr>
            <w:r>
              <w:rPr>
                <w:rFonts w:ascii="Arial" w:cs="Arial" w:eastAsia="Arial" w:hAnsi="Arial"/>
                <w:b w:val="false"/>
                <w:bCs w:val="false"/>
                <w:i w:val="false"/>
                <w:iCs w:val="false"/>
                <w:color w:val="000000"/>
                <w:sz w:val="19"/>
                <w:szCs w:val="19"/>
              </w:rPr>
              <w:t xml:space="preserve">564</w:t>
            </w:r>
          </w:p>
        </w:tc>
        <w:tc>
          <w:tcPr>
            <w:tcW w:type="dxa" w:w="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center"/>
            </w:pPr>
            <w:r>
              <w:rPr>
                <w:rFonts w:ascii="Arial" w:cs="Arial" w:eastAsia="Arial" w:hAnsi="Arial"/>
                <w:b w:val="false"/>
                <w:bCs w:val="false"/>
                <w:i w:val="false"/>
                <w:iCs w:val="false"/>
                <w:color w:val="000000"/>
                <w:sz w:val="19"/>
                <w:szCs w:val="19"/>
              </w:rPr>
              <w:t xml:space="preserve">0</w:t>
            </w:r>
          </w:p>
        </w:tc>
        <w:tc>
          <w:tcPr>
            <w:tcW w:type="dxa" w:w="46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Sénégal, Côte d'Ivoire, Mali, Burkina Faso, Niger, Togo, Bénin, Guinée-Bissau</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1A56DB"/>
                <w:sz w:val="19"/>
                <w:szCs w:val="19"/>
              </w:rPr>
              <w:t xml:space="preserve">XAF</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CFA Franc (BEAC)</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center"/>
            </w:pPr>
            <w:r>
              <w:rPr>
                <w:rFonts w:ascii="Arial" w:cs="Arial" w:eastAsia="Arial" w:hAnsi="Arial"/>
                <w:b w:val="false"/>
                <w:bCs w:val="false"/>
                <w:i w:val="false"/>
                <w:iCs w:val="false"/>
                <w:color w:val="000000"/>
                <w:sz w:val="19"/>
                <w:szCs w:val="19"/>
              </w:rPr>
              <w:t xml:space="preserve">600</w:t>
            </w:r>
          </w:p>
        </w:tc>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center"/>
            </w:pPr>
            <w:r>
              <w:rPr>
                <w:rFonts w:ascii="Arial" w:cs="Arial" w:eastAsia="Arial" w:hAnsi="Arial"/>
                <w:b w:val="false"/>
                <w:bCs w:val="false"/>
                <w:i w:val="false"/>
                <w:iCs w:val="false"/>
                <w:color w:val="000000"/>
                <w:sz w:val="19"/>
                <w:szCs w:val="19"/>
              </w:rPr>
              <w:t xml:space="preserve">0</w:t>
            </w:r>
          </w:p>
        </w:tc>
        <w:tc>
          <w:tcPr>
            <w:tcW w:type="dxa" w:w="46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Cameroun, Congo, Gabon, Tchad, RCA, Guinée Équatoriale</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1A56DB"/>
                <w:sz w:val="19"/>
                <w:szCs w:val="19"/>
              </w:rPr>
              <w:t xml:space="preserve">NGN</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Naira Nigérian</w:t>
            </w:r>
          </w:p>
        </w:tc>
        <w:tc>
          <w:tcPr>
            <w:tcW w:type="dxa" w:w="1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center"/>
            </w:pPr>
            <w:r>
              <w:rPr>
                <w:rFonts w:ascii="Arial" w:cs="Arial" w:eastAsia="Arial" w:hAnsi="Arial"/>
                <w:b w:val="false"/>
                <w:bCs w:val="false"/>
                <w:i w:val="false"/>
                <w:iCs w:val="false"/>
                <w:color w:val="000000"/>
                <w:sz w:val="19"/>
                <w:szCs w:val="19"/>
              </w:rPr>
              <w:t xml:space="preserve">1 370</w:t>
            </w:r>
          </w:p>
        </w:tc>
        <w:tc>
          <w:tcPr>
            <w:tcW w:type="dxa" w:w="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center"/>
            </w:pPr>
            <w:r>
              <w:rPr>
                <w:rFonts w:ascii="Arial" w:cs="Arial" w:eastAsia="Arial" w:hAnsi="Arial"/>
                <w:b w:val="false"/>
                <w:bCs w:val="false"/>
                <w:i w:val="false"/>
                <w:iCs w:val="false"/>
                <w:color w:val="000000"/>
                <w:sz w:val="19"/>
                <w:szCs w:val="19"/>
              </w:rPr>
              <w:t xml:space="preserve">2</w:t>
            </w:r>
          </w:p>
        </w:tc>
        <w:tc>
          <w:tcPr>
            <w:tcW w:type="dxa" w:w="46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Nigéria</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1A56DB"/>
                <w:sz w:val="19"/>
                <w:szCs w:val="19"/>
              </w:rPr>
              <w:t xml:space="preserve">GHS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Cedi Ghanéen</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center"/>
            </w:pPr>
            <w:r>
              <w:rPr>
                <w:rFonts w:ascii="Arial" w:cs="Arial" w:eastAsia="Arial" w:hAnsi="Arial"/>
                <w:b w:val="false"/>
                <w:bCs w:val="false"/>
                <w:i w:val="false"/>
                <w:iCs w:val="false"/>
                <w:color w:val="000000"/>
                <w:sz w:val="19"/>
                <w:szCs w:val="19"/>
              </w:rPr>
              <w:t xml:space="preserve">11,40</w:t>
            </w:r>
          </w:p>
        </w:tc>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center"/>
            </w:pPr>
            <w:r>
              <w:rPr>
                <w:rFonts w:ascii="Arial" w:cs="Arial" w:eastAsia="Arial" w:hAnsi="Arial"/>
                <w:b w:val="false"/>
                <w:bCs w:val="false"/>
                <w:i w:val="false"/>
                <w:iCs w:val="false"/>
                <w:color w:val="000000"/>
                <w:sz w:val="19"/>
                <w:szCs w:val="19"/>
              </w:rPr>
              <w:t xml:space="preserve">2</w:t>
            </w:r>
          </w:p>
        </w:tc>
        <w:tc>
          <w:tcPr>
            <w:tcW w:type="dxa" w:w="46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Ghana</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1A56DB"/>
                <w:sz w:val="19"/>
                <w:szCs w:val="19"/>
              </w:rPr>
              <w:t xml:space="preserve">LRD</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Dollar Libérien</w:t>
            </w:r>
          </w:p>
        </w:tc>
        <w:tc>
          <w:tcPr>
            <w:tcW w:type="dxa" w:w="1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center"/>
            </w:pPr>
            <w:r>
              <w:rPr>
                <w:rFonts w:ascii="Arial" w:cs="Arial" w:eastAsia="Arial" w:hAnsi="Arial"/>
                <w:b w:val="false"/>
                <w:bCs w:val="false"/>
                <w:i w:val="false"/>
                <w:iCs w:val="false"/>
                <w:color w:val="000000"/>
                <w:sz w:val="19"/>
                <w:szCs w:val="19"/>
              </w:rPr>
              <w:t xml:space="preserve">183</w:t>
            </w:r>
          </w:p>
        </w:tc>
        <w:tc>
          <w:tcPr>
            <w:tcW w:type="dxa" w:w="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center"/>
            </w:pPr>
            <w:r>
              <w:rPr>
                <w:rFonts w:ascii="Arial" w:cs="Arial" w:eastAsia="Arial" w:hAnsi="Arial"/>
                <w:b w:val="false"/>
                <w:bCs w:val="false"/>
                <w:i w:val="false"/>
                <w:iCs w:val="false"/>
                <w:color w:val="000000"/>
                <w:sz w:val="19"/>
                <w:szCs w:val="19"/>
              </w:rPr>
              <w:t xml:space="preserve">2</w:t>
            </w:r>
          </w:p>
        </w:tc>
        <w:tc>
          <w:tcPr>
            <w:tcW w:type="dxa" w:w="46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Libéria</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1A56DB"/>
                <w:sz w:val="19"/>
                <w:szCs w:val="19"/>
              </w:rPr>
              <w:t xml:space="preserve">KES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Shilling Kényan</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center"/>
            </w:pPr>
            <w:r>
              <w:rPr>
                <w:rFonts w:ascii="Arial" w:cs="Arial" w:eastAsia="Arial" w:hAnsi="Arial"/>
                <w:b w:val="false"/>
                <w:bCs w:val="false"/>
                <w:i w:val="false"/>
                <w:iCs w:val="false"/>
                <w:color w:val="000000"/>
                <w:sz w:val="19"/>
                <w:szCs w:val="19"/>
              </w:rPr>
              <w:t xml:space="preserve">129</w:t>
            </w:r>
          </w:p>
        </w:tc>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center"/>
            </w:pPr>
            <w:r>
              <w:rPr>
                <w:rFonts w:ascii="Arial" w:cs="Arial" w:eastAsia="Arial" w:hAnsi="Arial"/>
                <w:b w:val="false"/>
                <w:bCs w:val="false"/>
                <w:i w:val="false"/>
                <w:iCs w:val="false"/>
                <w:color w:val="000000"/>
                <w:sz w:val="19"/>
                <w:szCs w:val="19"/>
              </w:rPr>
              <w:t xml:space="preserve">2</w:t>
            </w:r>
          </w:p>
        </w:tc>
        <w:tc>
          <w:tcPr>
            <w:tcW w:type="dxa" w:w="46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Kenya</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1A56DB"/>
                <w:sz w:val="19"/>
                <w:szCs w:val="19"/>
              </w:rPr>
              <w:t xml:space="preserve">RWF</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Franc Rwandais</w:t>
            </w:r>
          </w:p>
        </w:tc>
        <w:tc>
          <w:tcPr>
            <w:tcW w:type="dxa" w:w="1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center"/>
            </w:pPr>
            <w:r>
              <w:rPr>
                <w:rFonts w:ascii="Arial" w:cs="Arial" w:eastAsia="Arial" w:hAnsi="Arial"/>
                <w:b w:val="false"/>
                <w:bCs w:val="false"/>
                <w:i w:val="false"/>
                <w:iCs w:val="false"/>
                <w:color w:val="000000"/>
                <w:sz w:val="19"/>
                <w:szCs w:val="19"/>
              </w:rPr>
              <w:t xml:space="preserve">1 400</w:t>
            </w:r>
          </w:p>
        </w:tc>
        <w:tc>
          <w:tcPr>
            <w:tcW w:type="dxa" w:w="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center"/>
            </w:pPr>
            <w:r>
              <w:rPr>
                <w:rFonts w:ascii="Arial" w:cs="Arial" w:eastAsia="Arial" w:hAnsi="Arial"/>
                <w:b w:val="false"/>
                <w:bCs w:val="false"/>
                <w:i w:val="false"/>
                <w:iCs w:val="false"/>
                <w:color w:val="000000"/>
                <w:sz w:val="19"/>
                <w:szCs w:val="19"/>
              </w:rPr>
              <w:t xml:space="preserve">0</w:t>
            </w:r>
          </w:p>
        </w:tc>
        <w:tc>
          <w:tcPr>
            <w:tcW w:type="dxa" w:w="46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Rwanda</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1A56DB"/>
                <w:sz w:val="19"/>
                <w:szCs w:val="19"/>
              </w:rPr>
              <w:t xml:space="preserve">CDF</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Franc Congolais</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center"/>
            </w:pPr>
            <w:r>
              <w:rPr>
                <w:rFonts w:ascii="Arial" w:cs="Arial" w:eastAsia="Arial" w:hAnsi="Arial"/>
                <w:b w:val="false"/>
                <w:bCs w:val="false"/>
                <w:i w:val="false"/>
                <w:iCs w:val="false"/>
                <w:color w:val="000000"/>
                <w:sz w:val="19"/>
                <w:szCs w:val="19"/>
              </w:rPr>
              <w:t xml:space="preserve">2 800</w:t>
            </w:r>
          </w:p>
        </w:tc>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center"/>
            </w:pPr>
            <w:r>
              <w:rPr>
                <w:rFonts w:ascii="Arial" w:cs="Arial" w:eastAsia="Arial" w:hAnsi="Arial"/>
                <w:b w:val="false"/>
                <w:bCs w:val="false"/>
                <w:i w:val="false"/>
                <w:iCs w:val="false"/>
                <w:color w:val="000000"/>
                <w:sz w:val="19"/>
                <w:szCs w:val="19"/>
              </w:rPr>
              <w:t xml:space="preserve">2</w:t>
            </w:r>
          </w:p>
        </w:tc>
        <w:tc>
          <w:tcPr>
            <w:tcW w:type="dxa" w:w="46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Congo (RDC)</w:t>
            </w:r>
          </w:p>
        </w:tc>
      </w:tr>
      <w:tr>
        <w:tc>
          <w:tcPr>
            <w:tcW w:type="dxa" w:w="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1A56DB"/>
                <w:sz w:val="19"/>
                <w:szCs w:val="19"/>
              </w:rPr>
              <w:t xml:space="preserve">EUR</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Euro</w:t>
            </w:r>
          </w:p>
        </w:tc>
        <w:tc>
          <w:tcPr>
            <w:tcW w:type="dxa" w:w="1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center"/>
            </w:pPr>
            <w:r>
              <w:rPr>
                <w:rFonts w:ascii="Arial" w:cs="Arial" w:eastAsia="Arial" w:hAnsi="Arial"/>
                <w:b w:val="false"/>
                <w:bCs w:val="false"/>
                <w:i w:val="false"/>
                <w:iCs w:val="false"/>
                <w:color w:val="000000"/>
                <w:sz w:val="19"/>
                <w:szCs w:val="19"/>
              </w:rPr>
              <w:t xml:space="preserve">0,92</w:t>
            </w:r>
          </w:p>
        </w:tc>
        <w:tc>
          <w:tcPr>
            <w:tcW w:type="dxa" w:w="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center"/>
            </w:pPr>
            <w:r>
              <w:rPr>
                <w:rFonts w:ascii="Arial" w:cs="Arial" w:eastAsia="Arial" w:hAnsi="Arial"/>
                <w:b w:val="false"/>
                <w:bCs w:val="false"/>
                <w:i w:val="false"/>
                <w:iCs w:val="false"/>
                <w:color w:val="000000"/>
                <w:sz w:val="19"/>
                <w:szCs w:val="19"/>
              </w:rPr>
              <w:t xml:space="preserve">2</w:t>
            </w:r>
          </w:p>
        </w:tc>
        <w:tc>
          <w:tcPr>
            <w:tcW w:type="dxa" w:w="46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France, deals internationaux</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F3C" w:val="clear"/>
            <w:tcMar>
              <w:top w:type="dxa" w:w="160"/>
              <w:left w:type="dxa" w:w="260"/>
              <w:bottom w:type="dxa" w:w="160"/>
              <w:right w:type="dxa" w:w="260"/>
            </w:tcMar>
          </w:tcPr>
          <w:p>
            <w:pPr>
              <w:spacing w:after="40" w:before="0"/>
            </w:pPr>
            <w:r>
              <w:rPr>
                <w:rFonts w:ascii="Arial" w:cs="Arial" w:eastAsia="Arial" w:hAnsi="Arial"/>
                <w:b/>
                <w:bCs/>
                <w:color w:val="FFFFFF"/>
                <w:sz w:val="30"/>
                <w:szCs w:val="30"/>
              </w:rPr>
              <w:t xml:space="preserve">SECTION 9 — LISTES DE VALEURS CLÉS</w:t>
            </w:r>
          </w:p>
          <w:p>
            <w:pPr>
              <w:spacing w:after="0" w:before="0"/>
            </w:pPr>
            <w:r>
              <w:rPr>
                <w:rFonts w:ascii="Arial" w:cs="Arial" w:eastAsia="Arial" w:hAnsi="Arial"/>
                <w:color w:val="CCCCCC"/>
                <w:sz w:val="18"/>
                <w:szCs w:val="18"/>
              </w:rPr>
              <w:t xml:space="preserve">Valeurs de picklist critiques et relations de dépendance de champs</w:t>
            </w:r>
          </w:p>
        </w:tc>
      </w:tr>
    </w:tbl>
    <w:p>
      <w:pPr>
        <w:spacing w:after="6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F3C" w:val="clear"/>
            <w:tcMar>
              <w:top w:type="dxa" w:w="80"/>
              <w:left w:type="dxa" w:w="160"/>
              <w:bottom w:type="dxa" w:w="80"/>
              <w:right w:type="dxa" w:w="160"/>
            </w:tcMar>
          </w:tcPr>
          <w:p>
            <w:r>
              <w:rPr>
                <w:rFonts w:ascii="Arial" w:cs="Arial" w:eastAsia="Arial" w:hAnsi="Arial"/>
                <w:b/>
                <w:bCs/>
                <w:color w:val="FFFFFF"/>
                <w:sz w:val="19"/>
                <w:szCs w:val="19"/>
              </w:rPr>
              <w:t xml:space="preserve">Étape Opportunité (Demande de Prêt) — 8 valeurs spécifiques au crédit</w:t>
            </w:r>
          </w:p>
        </w:tc>
      </w:tr>
      <w:tr>
        <w:tc>
          <w:tcPr>
            <w:tcW w:type="dxa" w:w="93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pPr>
              <w:spacing w:after="40" w:before="0"/>
              <w:jc w:val="left"/>
            </w:pPr>
            <w:r>
              <w:rPr>
                <w:rFonts w:ascii="Arial" w:cs="Arial" w:eastAsia="Arial" w:hAnsi="Arial"/>
                <w:b w:val="false"/>
                <w:bCs w:val="false"/>
                <w:i w:val="false"/>
                <w:iCs w:val="false"/>
                <w:color w:val="000000"/>
                <w:sz w:val="18"/>
                <w:szCs w:val="18"/>
              </w:rPr>
              <w:t xml:space="preserve">Prospection (10%) · En Révision (20%) · Documentation (40%) · Soumis (60%) · Évaluation Crédit (75%) · Approuvé (100%/Closed Won) · Refusé (0%/Closed Lost) · Retiré (0%/Closed Lost)</w:t>
            </w:r>
          </w:p>
          <w:p>
            <w:pPr>
              <w:spacing w:after="0" w:before="0"/>
              <w:jc w:val="left"/>
            </w:pPr>
            <w:r>
              <w:rPr>
                <w:rFonts w:ascii="Arial" w:cs="Arial" w:eastAsia="Arial" w:hAnsi="Arial"/>
                <w:b w:val="false"/>
                <w:bCs w:val="false"/>
                <w:i/>
                <w:iCs/>
                <w:color w:val="64748B"/>
                <w:sz w:val="16"/>
                <w:szCs w:val="16"/>
              </w:rPr>
              <w:t xml:space="preserve">Note : Anciennes étapes CRM génériques désactivées. Étapes spécifiques au crédit ajoutées Mai 2026.</w:t>
            </w:r>
          </w:p>
        </w:tc>
      </w:tr>
    </w:tbl>
    <w:p>
      <w:pPr>
        <w:spacing w:after="2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80"/>
              <w:left w:type="dxa" w:w="160"/>
              <w:bottom w:type="dxa" w:w="80"/>
              <w:right w:type="dxa" w:w="160"/>
            </w:tcMar>
          </w:tcPr>
          <w:p>
            <w:r>
              <w:rPr>
                <w:rFonts w:ascii="Arial" w:cs="Arial" w:eastAsia="Arial" w:hAnsi="Arial"/>
                <w:b/>
                <w:bCs/>
                <w:color w:val="FFFFFF"/>
                <w:sz w:val="19"/>
                <w:szCs w:val="19"/>
              </w:rPr>
              <w:t xml:space="preserve">Type de Client Compte — 8 valeurs</w:t>
            </w:r>
          </w:p>
        </w:tc>
      </w:tr>
      <w:tr>
        <w:tc>
          <w:tcPr>
            <w:tcW w:type="dxa" w:w="93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pPr>
              <w:spacing w:after="40" w:before="0"/>
              <w:jc w:val="left"/>
            </w:pPr>
            <w:r>
              <w:rPr>
                <w:rFonts w:ascii="Arial" w:cs="Arial" w:eastAsia="Arial" w:hAnsi="Arial"/>
                <w:b w:val="false"/>
                <w:bCs w:val="false"/>
                <w:i w:val="false"/>
                <w:iCs w:val="false"/>
                <w:color w:val="000000"/>
                <w:sz w:val="18"/>
                <w:szCs w:val="18"/>
              </w:rPr>
              <w:t xml:space="preserve">Individuel · Business · PME · Corporate · Coopérative · Microfinance · Gouvernement · Institution Financière</w:t>
            </w:r>
          </w:p>
          <w:p>
            <w:pPr>
              <w:spacing w:after="0" w:before="0"/>
              <w:jc w:val="left"/>
            </w:pPr>
            <w:r>
              <w:rPr>
                <w:rFonts w:ascii="Arial" w:cs="Arial" w:eastAsia="Arial" w:hAnsi="Arial"/>
                <w:b w:val="false"/>
                <w:bCs w:val="false"/>
                <w:i/>
                <w:iCs/>
                <w:color w:val="64748B"/>
                <w:sz w:val="16"/>
                <w:szCs w:val="16"/>
              </w:rPr>
              <w:t xml:space="preserve">Note : Coopérative ajoutée Mai 2026. Utilisée dans la formule Score de Risque (20 points).</w:t>
            </w:r>
          </w:p>
        </w:tc>
      </w:tr>
    </w:tbl>
    <w:p>
      <w:pPr>
        <w:spacing w:after="2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F3C" w:val="clear"/>
            <w:tcMar>
              <w:top w:type="dxa" w:w="80"/>
              <w:left w:type="dxa" w:w="160"/>
              <w:bottom w:type="dxa" w:w="80"/>
              <w:right w:type="dxa" w:w="160"/>
            </w:tcMar>
          </w:tcPr>
          <w:p>
            <w:r>
              <w:rPr>
                <w:rFonts w:ascii="Arial" w:cs="Arial" w:eastAsia="Arial" w:hAnsi="Arial"/>
                <w:b/>
                <w:bCs/>
                <w:color w:val="FFFFFF"/>
                <w:sz w:val="19"/>
                <w:szCs w:val="19"/>
              </w:rPr>
              <w:t xml:space="preserve">Secteur Compte — 5 valeurs</w:t>
            </w:r>
          </w:p>
        </w:tc>
      </w:tr>
      <w:tr>
        <w:tc>
          <w:tcPr>
            <w:tcW w:type="dxa" w:w="93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pPr>
              <w:spacing w:after="40" w:before="0"/>
              <w:jc w:val="left"/>
            </w:pPr>
            <w:r>
              <w:rPr>
                <w:rFonts w:ascii="Arial" w:cs="Arial" w:eastAsia="Arial" w:hAnsi="Arial"/>
                <w:b w:val="false"/>
                <w:bCs w:val="false"/>
                <w:i w:val="false"/>
                <w:iCs w:val="false"/>
                <w:color w:val="000000"/>
                <w:sz w:val="18"/>
                <w:szCs w:val="18"/>
              </w:rPr>
              <w:t xml:space="preserve">Agriculture · Commerce &amp; Affaires · Activité Informelle/Microfinance · Trésorerie · Autre</w:t>
            </w:r>
          </w:p>
          <w:p>
            <w:pPr>
              <w:spacing w:after="0" w:before="0"/>
              <w:jc w:val="left"/>
            </w:pPr>
            <w:r>
              <w:rPr>
                <w:rFonts w:ascii="Arial" w:cs="Arial" w:eastAsia="Arial" w:hAnsi="Arial"/>
                <w:b w:val="false"/>
                <w:bCs w:val="false"/>
                <w:i/>
                <w:iCs/>
                <w:color w:val="64748B"/>
                <w:sz w:val="16"/>
                <w:szCs w:val="16"/>
              </w:rPr>
              <w:t xml:space="preserve">Note : Small Business/PME renommé en Commerce &amp; Affaires. Microfinance renommé en Activité Informelle/Microfinance — Mai 2026.</w:t>
            </w:r>
          </w:p>
        </w:tc>
      </w:tr>
    </w:tbl>
    <w:p>
      <w:pPr>
        <w:spacing w:after="2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80"/>
              <w:left w:type="dxa" w:w="160"/>
              <w:bottom w:type="dxa" w:w="80"/>
              <w:right w:type="dxa" w:w="160"/>
            </w:tcMar>
          </w:tcPr>
          <w:p>
            <w:r>
              <w:rPr>
                <w:rFonts w:ascii="Arial" w:cs="Arial" w:eastAsia="Arial" w:hAnsi="Arial"/>
                <w:b/>
                <w:bCs/>
                <w:color w:val="FFFFFF"/>
                <w:sz w:val="19"/>
                <w:szCs w:val="19"/>
              </w:rPr>
              <w:t xml:space="preserve">Marché Principal Compte — 11 valeurs</w:t>
            </w:r>
          </w:p>
        </w:tc>
      </w:tr>
      <w:tr>
        <w:tc>
          <w:tcPr>
            <w:tcW w:type="dxa" w:w="93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pPr>
              <w:spacing w:after="40" w:before="0"/>
              <w:jc w:val="left"/>
            </w:pPr>
            <w:r>
              <w:rPr>
                <w:rFonts w:ascii="Arial" w:cs="Arial" w:eastAsia="Arial" w:hAnsi="Arial"/>
                <w:b w:val="false"/>
                <w:bCs w:val="false"/>
                <w:i w:val="false"/>
                <w:iCs w:val="false"/>
                <w:color w:val="000000"/>
                <w:sz w:val="18"/>
                <w:szCs w:val="18"/>
              </w:rPr>
              <w:t xml:space="preserve">Cameroun · Congo · Sénégal · Côte d'Ivoire · Libéria · Kenya · Rwanda · Nigéria · USA · France · Ghana</w:t>
            </w:r>
          </w:p>
          <w:p>
            <w:pPr>
              <w:spacing w:after="0" w:before="0"/>
              <w:jc w:val="left"/>
            </w:pPr>
            <w:r>
              <w:rPr>
                <w:rFonts w:ascii="Arial" w:cs="Arial" w:eastAsia="Arial" w:hAnsi="Arial"/>
                <w:b w:val="false"/>
                <w:bCs w:val="false"/>
                <w:i/>
                <w:iCs/>
                <w:color w:val="64748B"/>
                <w:sz w:val="16"/>
                <w:szCs w:val="16"/>
              </w:rPr>
              <w:t xml:space="preserve">Note : Ghana ajouté Mai 2026. Chaque valeur déclenche la mise à jour automatique de la devise via flux.</w:t>
            </w:r>
          </w:p>
        </w:tc>
      </w:tr>
    </w:tbl>
    <w:p>
      <w:pPr>
        <w:spacing w:after="2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F3C" w:val="clear"/>
            <w:tcMar>
              <w:top w:type="dxa" w:w="80"/>
              <w:left w:type="dxa" w:w="160"/>
              <w:bottom w:type="dxa" w:w="80"/>
              <w:right w:type="dxa" w:w="160"/>
            </w:tcMar>
          </w:tcPr>
          <w:p>
            <w:r>
              <w:rPr>
                <w:rFonts w:ascii="Arial" w:cs="Arial" w:eastAsia="Arial" w:hAnsi="Arial"/>
                <w:b/>
                <w:bCs/>
                <w:color w:val="FFFFFF"/>
                <w:sz w:val="19"/>
                <w:szCs w:val="19"/>
              </w:rPr>
              <w:t xml:space="preserve">Niveau de Risque Compte — 4 valeurs</w:t>
            </w:r>
          </w:p>
        </w:tc>
      </w:tr>
      <w:tr>
        <w:tc>
          <w:tcPr>
            <w:tcW w:type="dxa" w:w="93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pPr>
              <w:spacing w:after="40" w:before="0"/>
              <w:jc w:val="left"/>
            </w:pPr>
            <w:r>
              <w:rPr>
                <w:rFonts w:ascii="Arial" w:cs="Arial" w:eastAsia="Arial" w:hAnsi="Arial"/>
                <w:b w:val="false"/>
                <w:bCs w:val="false"/>
                <w:i w:val="false"/>
                <w:iCs w:val="false"/>
                <w:color w:val="000000"/>
                <w:sz w:val="18"/>
                <w:szCs w:val="18"/>
              </w:rPr>
              <w:t xml:space="preserve">Faible (30pts) · Moyen (20pts) · Élevé (10pts) · Très Élevé (0pts)</w:t>
            </w:r>
          </w:p>
          <w:p>
            <w:pPr>
              <w:spacing w:after="0" w:before="0"/>
              <w:jc w:val="left"/>
            </w:pPr>
            <w:r>
              <w:rPr>
                <w:rFonts w:ascii="Arial" w:cs="Arial" w:eastAsia="Arial" w:hAnsi="Arial"/>
                <w:b w:val="false"/>
                <w:bCs w:val="false"/>
                <w:i/>
                <w:iCs/>
                <w:color w:val="64748B"/>
                <w:sz w:val="16"/>
                <w:szCs w:val="16"/>
              </w:rPr>
              <w:t xml:space="preserve">Note : Utilisé dans la formule Score de Risque sur le Dossier de Financement. Défini par le Chargé de Crédit uniquement.</w:t>
            </w:r>
          </w:p>
        </w:tc>
      </w:tr>
    </w:tbl>
    <w:p>
      <w:pPr>
        <w:spacing w:after="2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80"/>
              <w:left w:type="dxa" w:w="160"/>
              <w:bottom w:type="dxa" w:w="80"/>
              <w:right w:type="dxa" w:w="160"/>
            </w:tcMar>
          </w:tcPr>
          <w:p>
            <w:r>
              <w:rPr>
                <w:rFonts w:ascii="Arial" w:cs="Arial" w:eastAsia="Arial" w:hAnsi="Arial"/>
                <w:b/>
                <w:bCs/>
                <w:color w:val="FFFFFF"/>
                <w:sz w:val="19"/>
                <w:szCs w:val="19"/>
              </w:rPr>
              <w:t xml:space="preserve">Type de Prêt Facilité de Crédit — 13 valeurs</w:t>
            </w:r>
          </w:p>
        </w:tc>
      </w:tr>
      <w:tr>
        <w:tc>
          <w:tcPr>
            <w:tcW w:type="dxa" w:w="93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pPr>
              <w:spacing w:after="40" w:before="0"/>
              <w:jc w:val="left"/>
            </w:pPr>
            <w:r>
              <w:rPr>
                <w:rFonts w:ascii="Arial" w:cs="Arial" w:eastAsia="Arial" w:hAnsi="Arial"/>
                <w:b w:val="false"/>
                <w:bCs w:val="false"/>
                <w:i w:val="false"/>
                <w:iCs w:val="false"/>
                <w:color w:val="000000"/>
                <w:sz w:val="18"/>
                <w:szCs w:val="18"/>
              </w:rPr>
              <w:t xml:space="preserve">Fonds de Roulement · Prêt Équipement · Prêt Agriculture · Prêt Microfinance · Financement Commerce · Prêt Personnel · Hypothèque · Découvert · Prêt à Terme · Financement Factures · Prêt Construction · Financement Contrat Gouvernemental · Autre</w:t>
            </w:r>
          </w:p>
          <w:p>
            <w:pPr>
              <w:spacing w:after="0" w:before="0"/>
              <w:jc w:val="left"/>
            </w:pPr>
            <w:r>
              <w:rPr>
                <w:rFonts w:ascii="Arial" w:cs="Arial" w:eastAsia="Arial" w:hAnsi="Arial"/>
                <w:b w:val="false"/>
                <w:bCs w:val="false"/>
                <w:i/>
                <w:iCs/>
                <w:color w:val="64748B"/>
                <w:sz w:val="16"/>
                <w:szCs w:val="16"/>
              </w:rPr>
              <w:t xml:space="preserve">Note : Champ contrôlant pour la dépendance de champ Taux d'Intérêt.</w:t>
            </w:r>
          </w:p>
        </w:tc>
      </w:tr>
    </w:tbl>
    <w:p>
      <w:pPr>
        <w:spacing w:after="2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F3C" w:val="clear"/>
            <w:tcMar>
              <w:top w:type="dxa" w:w="80"/>
              <w:left w:type="dxa" w:w="160"/>
              <w:bottom w:type="dxa" w:w="80"/>
              <w:right w:type="dxa" w:w="160"/>
            </w:tcMar>
          </w:tcPr>
          <w:p>
            <w:r>
              <w:rPr>
                <w:rFonts w:ascii="Arial" w:cs="Arial" w:eastAsia="Arial" w:hAnsi="Arial"/>
                <w:b/>
                <w:bCs/>
                <w:color w:val="FFFFFF"/>
                <w:sz w:val="19"/>
                <w:szCs w:val="19"/>
              </w:rPr>
              <w:t xml:space="preserve">Taux d'Intérêt Facilité de Crédit — 34 valeurs + dépendance de champ</w:t>
            </w:r>
          </w:p>
        </w:tc>
      </w:tr>
      <w:tr>
        <w:tc>
          <w:tcPr>
            <w:tcW w:type="dxa" w:w="93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pPr>
              <w:spacing w:after="40" w:before="0"/>
              <w:jc w:val="left"/>
            </w:pPr>
            <w:r>
              <w:rPr>
                <w:rFonts w:ascii="Arial" w:cs="Arial" w:eastAsia="Arial" w:hAnsi="Arial"/>
                <w:b w:val="false"/>
                <w:bCs w:val="false"/>
                <w:i w:val="false"/>
                <w:iCs w:val="false"/>
                <w:color w:val="000000"/>
                <w:sz w:val="18"/>
                <w:szCs w:val="18"/>
              </w:rPr>
              <w:t xml:space="preserve">6,00 à 24,00 par incréments de 0,50 + Taux Personnalisé. Dépendance de champ : Type de Prêt contrôle quels taux sont visibles.</w:t>
            </w:r>
          </w:p>
          <w:p>
            <w:pPr>
              <w:spacing w:after="0" w:before="0"/>
              <w:jc w:val="left"/>
            </w:pPr>
            <w:r>
              <w:rPr>
                <w:rFonts w:ascii="Arial" w:cs="Arial" w:eastAsia="Arial" w:hAnsi="Arial"/>
                <w:b w:val="false"/>
                <w:bCs w:val="false"/>
                <w:i/>
                <w:iCs/>
                <w:color w:val="64748B"/>
                <w:sz w:val="16"/>
                <w:szCs w:val="16"/>
              </w:rPr>
              <w:t xml:space="preserve">Note : Agriculture : 6,00-12,00 · Fonds de Roulement : 8,00-15,00 · Microfinance : 12,00-24,00 · Autre : Taux Personnalisé uniquement.</w:t>
            </w:r>
          </w:p>
        </w:tc>
      </w:tr>
    </w:tbl>
    <w:p>
      <w:pPr>
        <w:spacing w:after="2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80"/>
              <w:left w:type="dxa" w:w="160"/>
              <w:bottom w:type="dxa" w:w="80"/>
              <w:right w:type="dxa" w:w="160"/>
            </w:tcMar>
          </w:tcPr>
          <w:p>
            <w:r>
              <w:rPr>
                <w:rFonts w:ascii="Arial" w:cs="Arial" w:eastAsia="Arial" w:hAnsi="Arial"/>
                <w:b/>
                <w:bCs/>
                <w:color w:val="FFFFFF"/>
                <w:sz w:val="19"/>
                <w:szCs w:val="19"/>
              </w:rPr>
              <w:t xml:space="preserve">Objet du Dossier de Financement — 9 valeurs</w:t>
            </w:r>
          </w:p>
        </w:tc>
      </w:tr>
      <w:tr>
        <w:tc>
          <w:tcPr>
            <w:tcW w:type="dxa" w:w="93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pPr>
              <w:spacing w:after="40" w:before="0"/>
              <w:jc w:val="left"/>
            </w:pPr>
            <w:r>
              <w:rPr>
                <w:rFonts w:ascii="Arial" w:cs="Arial" w:eastAsia="Arial" w:hAnsi="Arial"/>
                <w:b w:val="false"/>
                <w:bCs w:val="false"/>
                <w:i w:val="false"/>
                <w:iCs w:val="false"/>
                <w:color w:val="000000"/>
                <w:sz w:val="18"/>
                <w:szCs w:val="18"/>
              </w:rPr>
              <w:t xml:space="preserve">Fonds de Roulement · Achat d'Actifs · Financement Commerce · Construction · Refinancement · Intrants Agricoles · Immobilier · Contrat Gouvernemental · Autre</w:t>
            </w:r>
          </w:p>
          <w:p>
            <w:pPr>
              <w:spacing w:after="0" w:before="0"/>
              <w:jc w:val="left"/>
            </w:pPr>
            <w:r>
              <w:rPr>
                <w:rFonts w:ascii="Arial" w:cs="Arial" w:eastAsia="Arial" w:hAnsi="Arial"/>
                <w:b w:val="false"/>
                <w:bCs w:val="false"/>
                <w:i/>
                <w:iCs/>
                <w:color w:val="64748B"/>
                <w:sz w:val="16"/>
                <w:szCs w:val="16"/>
              </w:rPr>
              <w:t xml:space="preserve">Note : Immobilier et Contrat Gouvernemental ajoutés Mai 2026.</w:t>
            </w:r>
          </w:p>
        </w:tc>
      </w:tr>
    </w:tbl>
    <w:p>
      <w:pPr>
        <w:spacing w:after="20" w:before="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4532D" w:val="clear"/>
            <w:tcMar>
              <w:top w:type="dxa" w:w="160"/>
              <w:left w:type="dxa" w:w="260"/>
              <w:bottom w:type="dxa" w:w="160"/>
              <w:right w:type="dxa" w:w="260"/>
            </w:tcMar>
          </w:tcPr>
          <w:p>
            <w:pPr>
              <w:spacing w:after="40" w:before="0"/>
            </w:pPr>
            <w:r>
              <w:rPr>
                <w:rFonts w:ascii="Arial" w:cs="Arial" w:eastAsia="Arial" w:hAnsi="Arial"/>
                <w:b/>
                <w:bCs/>
                <w:color w:val="FFFFFF"/>
                <w:sz w:val="30"/>
                <w:szCs w:val="30"/>
              </w:rPr>
              <w:t xml:space="preserve">SECTION 10 — EMPRUNTEURS DE TEST</w:t>
            </w:r>
          </w:p>
          <w:p>
            <w:pPr>
              <w:spacing w:after="0" w:before="0"/>
            </w:pPr>
            <w:r>
              <w:rPr>
                <w:rFonts w:ascii="Arial" w:cs="Arial" w:eastAsia="Arial" w:hAnsi="Arial"/>
                <w:color w:val="CCCCCC"/>
                <w:sz w:val="18"/>
                <w:szCs w:val="18"/>
              </w:rPr>
              <w:t xml:space="preserve">7 emprunteurs couvrant tous les niveaux d'approbation, pays et types de prêts</w:t>
            </w:r>
          </w:p>
        </w:tc>
      </w:tr>
    </w:tbl>
    <w:p>
      <w:pPr>
        <w:spacing w:after="6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700"/>
        <w:gridCol w:w="900"/>
        <w:gridCol w:w="1400"/>
        <w:gridCol w:w="1160"/>
        <w:gridCol w:w="2000"/>
      </w:tblGrid>
      <w:tr>
        <w:tc>
          <w:tcPr>
            <w:tcW w:type="dxa" w:w="22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Emprunteur</w:t>
            </w:r>
          </w:p>
        </w:tc>
        <w:tc>
          <w:tcPr>
            <w:tcW w:type="dxa" w:w="10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Pays</w:t>
            </w:r>
          </w:p>
        </w:tc>
        <w:tc>
          <w:tcPr>
            <w:tcW w:type="dxa" w:w="7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Devise</w:t>
            </w:r>
          </w:p>
        </w:tc>
        <w:tc>
          <w:tcPr>
            <w:tcW w:type="dxa" w:w="9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Montant</w:t>
            </w:r>
          </w:p>
        </w:tc>
        <w:tc>
          <w:tcPr>
            <w:tcW w:type="dxa" w:w="14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Type de Prêt</w:t>
            </w:r>
          </w:p>
        </w:tc>
        <w:tc>
          <w:tcPr>
            <w:tcW w:type="dxa" w:w="116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Niveau Approbation</w:t>
            </w:r>
          </w:p>
        </w:tc>
        <w:tc>
          <w:tcPr>
            <w:tcW w:type="dxa" w:w="20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Scénario de Test Clé</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Diallo Textile Export SARL</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Sénégal</w:t>
            </w:r>
          </w:p>
        </w:tc>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XOF</w:t>
            </w:r>
          </w:p>
        </w:tc>
        <w:tc>
          <w:tcPr>
            <w:tcW w:type="dxa" w:w="9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00000"/>
                <w:sz w:val="19"/>
                <w:szCs w:val="19"/>
              </w:rPr>
              <w:t xml:space="preserve">45 000$</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Fonds de Roulement</w:t>
            </w:r>
          </w:p>
        </w:tc>
        <w:tc>
          <w:tcPr>
            <w:tcW w:type="dxa" w:w="1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Niveau 1</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Cycle de vie PME de bout en bout</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Obi Agricultural Cooperative</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Nigéria</w:t>
            </w:r>
          </w:p>
        </w:tc>
        <w:tc>
          <w:tcPr>
            <w:tcW w:type="dxa" w:w="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NGN</w:t>
            </w:r>
          </w:p>
        </w:tc>
        <w:tc>
          <w:tcPr>
            <w:tcW w:type="dxa" w:w="9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00000"/>
                <w:sz w:val="19"/>
                <w:szCs w:val="19"/>
              </w:rPr>
              <w:t xml:space="preserve">18 000$</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Prêt Agriculture</w:t>
            </w:r>
          </w:p>
        </w:tc>
        <w:tc>
          <w:tcPr>
            <w:tcW w:type="dxa" w:w="1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Niveau 1</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Crédit de groupe + scoring secteur informel</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Mvondo Construction SARL</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Cameroun</w:t>
            </w:r>
          </w:p>
        </w:tc>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XAF</w:t>
            </w:r>
          </w:p>
        </w:tc>
        <w:tc>
          <w:tcPr>
            <w:tcW w:type="dxa" w:w="9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00000"/>
                <w:sz w:val="19"/>
                <w:szCs w:val="19"/>
              </w:rPr>
              <w:t xml:space="preserve">350 000$</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Contrat Gouvernemental</w:t>
            </w:r>
          </w:p>
        </w:tc>
        <w:tc>
          <w:tcPr>
            <w:tcW w:type="dxa" w:w="1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Niveau 1</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Financement de contrat gouvernemental</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Asante Cocoa Traders Ltd</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Ghana</w:t>
            </w:r>
          </w:p>
        </w:tc>
        <w:tc>
          <w:tcPr>
            <w:tcW w:type="dxa" w:w="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GHS</w:t>
            </w:r>
          </w:p>
        </w:tc>
        <w:tc>
          <w:tcPr>
            <w:tcW w:type="dxa" w:w="9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00000"/>
                <w:sz w:val="19"/>
                <w:szCs w:val="19"/>
              </w:rPr>
              <w:t xml:space="preserve">75 000$</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Financement Commerce</w:t>
            </w:r>
          </w:p>
        </w:tc>
        <w:tc>
          <w:tcPr>
            <w:tcW w:type="dxa" w:w="1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N1 → N3</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Enforcement porte liste de contrôle documents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Kouyaté Palm Oil Processing Ltd</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Côte d'Ivoire</w:t>
            </w:r>
          </w:p>
        </w:tc>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XOF</w:t>
            </w:r>
          </w:p>
        </w:tc>
        <w:tc>
          <w:tcPr>
            <w:tcW w:type="dxa" w:w="9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00000"/>
                <w:sz w:val="19"/>
                <w:szCs w:val="19"/>
              </w:rPr>
              <w:t xml:space="preserve">850 000$</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Prêt Équipement</w:t>
            </w:r>
          </w:p>
        </w:tc>
        <w:tc>
          <w:tcPr>
            <w:tcW w:type="dxa" w:w="1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Niveau 2 → N3</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Approbation multi-niveaux intermédiaire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Okonkwo Cement Manufacturing Ltd</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Nigéria</w:t>
            </w:r>
          </w:p>
        </w:tc>
        <w:tc>
          <w:tcPr>
            <w:tcW w:type="dxa" w:w="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NGN</w:t>
            </w:r>
          </w:p>
        </w:tc>
        <w:tc>
          <w:tcPr>
            <w:tcW w:type="dxa" w:w="9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00000"/>
                <w:sz w:val="19"/>
                <w:szCs w:val="19"/>
              </w:rPr>
              <w:t xml:space="preserve">1 800 000$</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Prêt à Terme</w:t>
            </w:r>
          </w:p>
        </w:tc>
        <w:tc>
          <w:tcPr>
            <w:tcW w:type="dxa" w:w="1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Niveau 2 → N3</w:t>
            </w:r>
          </w:p>
        </w:tc>
        <w:tc>
          <w:tcPr>
            <w:tcW w:type="dxa" w:w="2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Grand deal comité de crédit</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Ndoumbe Real Estate Holdings</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Cameroun</w:t>
            </w:r>
          </w:p>
        </w:tc>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XAF</w:t>
            </w:r>
          </w:p>
        </w:tc>
        <w:tc>
          <w:tcPr>
            <w:tcW w:type="dxa" w:w="9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00000"/>
                <w:sz w:val="19"/>
                <w:szCs w:val="19"/>
              </w:rPr>
              <w:t xml:space="preserve">3 200 000$</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Immobilier</w:t>
            </w:r>
          </w:p>
        </w:tc>
        <w:tc>
          <w:tcPr>
            <w:tcW w:type="dxa" w:w="1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Niveau 3 Direct</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Deal comité — plus grand deal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8920A" w:val="clear"/>
            <w:tcMar>
              <w:top w:type="dxa" w:w="160"/>
              <w:left w:type="dxa" w:w="260"/>
              <w:bottom w:type="dxa" w:w="160"/>
              <w:right w:type="dxa" w:w="260"/>
            </w:tcMar>
          </w:tcPr>
          <w:p>
            <w:pPr>
              <w:spacing w:after="40" w:before="0"/>
            </w:pPr>
            <w:r>
              <w:rPr>
                <w:rFonts w:ascii="Arial" w:cs="Arial" w:eastAsia="Arial" w:hAnsi="Arial"/>
                <w:b/>
                <w:bCs/>
                <w:color w:val="FFFFFF"/>
                <w:sz w:val="30"/>
                <w:szCs w:val="30"/>
              </w:rPr>
              <w:t xml:space="preserve">SECTION 11 — CONSTRUIT vs EN CONCEPTION</w:t>
            </w:r>
          </w:p>
          <w:p>
            <w:pPr>
              <w:spacing w:after="0" w:before="0"/>
            </w:pPr>
            <w:r>
              <w:rPr>
                <w:rFonts w:ascii="Arial" w:cs="Arial" w:eastAsia="Arial" w:hAnsi="Arial"/>
                <w:color w:val="CCCCCC"/>
                <w:sz w:val="18"/>
                <w:szCs w:val="18"/>
              </w:rPr>
              <w:t xml:space="preserve">Ce qui est actif dans l'org Developer Edition vs ce qui attend le déploiement en production</w:t>
            </w:r>
          </w:p>
        </w:tc>
      </w:tr>
    </w:tbl>
    <w:p>
      <w:pPr>
        <w:spacing w:after="6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2E8F0" w:sz="1"/>
              <w:left w:val="single" w:color="E2E8F0" w:sz="1"/>
              <w:bottom w:val="single" w:color="E2E8F0" w:sz="1"/>
              <w:right w:val="single" w:color="E2E8F0" w:sz="1"/>
            </w:tcBorders>
            <w:shd w:fill="DCFCE7" w:val="clear"/>
            <w:tcMar>
              <w:top w:type="dxa" w:w="140"/>
              <w:left w:type="dxa" w:w="160"/>
              <w:bottom w:type="dxa" w:w="140"/>
              <w:right w:type="dxa" w:w="160"/>
            </w:tcMar>
          </w:tcPr>
          <w:p>
            <w:pPr>
              <w:spacing w:after="60" w:before="0"/>
              <w:jc w:val="left"/>
            </w:pPr>
            <w:r>
              <w:rPr>
                <w:rFonts w:ascii="Arial" w:cs="Arial" w:eastAsia="Arial" w:hAnsi="Arial"/>
                <w:b/>
                <w:bCs/>
                <w:i w:val="false"/>
                <w:iCs w:val="false"/>
                <w:color w:val="14532D"/>
                <w:sz w:val="20"/>
                <w:szCs w:val="20"/>
              </w:rPr>
              <w:t xml:space="preserve">✅ Construit &amp; Actif dans Developer Edition</w:t>
            </w:r>
          </w:p>
          <w:p>
            <w:pPr>
              <w:pStyle w:val="ListParagraph"/>
              <w:numPr>
                <w:ilvl w:val="0"/>
                <w:numId w:val="2"/>
              </w:numPr>
              <w:spacing w:after="30" w:before="30"/>
            </w:pPr>
            <w:r>
              <w:rPr>
                <w:rFonts w:ascii="Arial" w:cs="Arial" w:eastAsia="Arial" w:hAnsi="Arial"/>
                <w:b w:val="false"/>
                <w:bCs w:val="false"/>
                <w:color w:val="000000"/>
                <w:sz w:val="19"/>
                <w:szCs w:val="19"/>
              </w:rPr>
              <w:t xml:space="preserve">Les 12 objets personnalisés/standard avec 180+ champs</w:t>
            </w:r>
          </w:p>
          <w:p>
            <w:pPr>
              <w:pStyle w:val="ListParagraph"/>
              <w:numPr>
                <w:ilvl w:val="0"/>
                <w:numId w:val="2"/>
              </w:numPr>
              <w:spacing w:after="30" w:before="30"/>
            </w:pPr>
            <w:r>
              <w:rPr>
                <w:rFonts w:ascii="Arial" w:cs="Arial" w:eastAsia="Arial" w:hAnsi="Arial"/>
                <w:b w:val="false"/>
                <w:bCs w:val="false"/>
                <w:color w:val="000000"/>
                <w:sz w:val="19"/>
                <w:szCs w:val="19"/>
              </w:rPr>
              <w:t xml:space="preserve">27+ flux déclenchés par enregistrement et programmés</w:t>
            </w:r>
          </w:p>
          <w:p>
            <w:pPr>
              <w:pStyle w:val="ListParagraph"/>
              <w:numPr>
                <w:ilvl w:val="0"/>
                <w:numId w:val="2"/>
              </w:numPr>
              <w:spacing w:after="30" w:before="30"/>
            </w:pPr>
            <w:r>
              <w:rPr>
                <w:rFonts w:ascii="Arial" w:cs="Arial" w:eastAsia="Arial" w:hAnsi="Arial"/>
                <w:b w:val="false"/>
                <w:bCs w:val="false"/>
                <w:color w:val="000000"/>
                <w:sz w:val="19"/>
                <w:szCs w:val="19"/>
              </w:rPr>
              <w:t xml:space="preserve">8 règles de validation</w:t>
            </w:r>
          </w:p>
          <w:p>
            <w:pPr>
              <w:pStyle w:val="ListParagraph"/>
              <w:numPr>
                <w:ilvl w:val="0"/>
                <w:numId w:val="2"/>
              </w:numPr>
              <w:spacing w:after="30" w:before="30"/>
            </w:pPr>
            <w:r>
              <w:rPr>
                <w:rFonts w:ascii="Arial" w:cs="Arial" w:eastAsia="Arial" w:hAnsi="Arial"/>
                <w:b w:val="false"/>
                <w:bCs w:val="false"/>
                <w:color w:val="000000"/>
                <w:sz w:val="19"/>
                <w:szCs w:val="19"/>
              </w:rPr>
              <w:t xml:space="preserve">3 processus d'approbation</w:t>
            </w:r>
          </w:p>
          <w:p>
            <w:pPr>
              <w:pStyle w:val="ListParagraph"/>
              <w:numPr>
                <w:ilvl w:val="0"/>
                <w:numId w:val="2"/>
              </w:numPr>
              <w:spacing w:after="30" w:before="30"/>
            </w:pPr>
            <w:r>
              <w:rPr>
                <w:rFonts w:ascii="Arial" w:cs="Arial" w:eastAsia="Arial" w:hAnsi="Arial"/>
                <w:b w:val="false"/>
                <w:bCs w:val="false"/>
                <w:color w:val="000000"/>
                <w:sz w:val="19"/>
                <w:szCs w:val="19"/>
              </w:rPr>
              <w:t xml:space="preserve">Formule Score de Risque 5 dimensions</w:t>
            </w:r>
          </w:p>
          <w:p>
            <w:pPr>
              <w:pStyle w:val="ListParagraph"/>
              <w:numPr>
                <w:ilvl w:val="0"/>
                <w:numId w:val="2"/>
              </w:numPr>
              <w:spacing w:after="30" w:before="30"/>
            </w:pPr>
            <w:r>
              <w:rPr>
                <w:rFonts w:ascii="Arial" w:cs="Arial" w:eastAsia="Arial" w:hAnsi="Arial"/>
                <w:b w:val="false"/>
                <w:bCs w:val="false"/>
                <w:color w:val="000000"/>
                <w:sz w:val="19"/>
                <w:szCs w:val="19"/>
              </w:rPr>
              <w:t xml:space="preserve">Formule Niveau de Risque Suggéré</w:t>
            </w:r>
          </w:p>
          <w:p>
            <w:pPr>
              <w:pStyle w:val="ListParagraph"/>
              <w:numPr>
                <w:ilvl w:val="0"/>
                <w:numId w:val="2"/>
              </w:numPr>
              <w:spacing w:after="30" w:before="30"/>
            </w:pPr>
            <w:r>
              <w:rPr>
                <w:rFonts w:ascii="Arial" w:cs="Arial" w:eastAsia="Arial" w:hAnsi="Arial"/>
                <w:b w:val="false"/>
                <w:bCs w:val="false"/>
                <w:color w:val="000000"/>
                <w:sz w:val="19"/>
                <w:szCs w:val="19"/>
              </w:rPr>
              <w:t xml:space="preserve">Liste 34 valeurs Taux d'Intérêt + dépendance de champ</w:t>
            </w:r>
          </w:p>
          <w:p>
            <w:pPr>
              <w:pStyle w:val="ListParagraph"/>
              <w:numPr>
                <w:ilvl w:val="0"/>
                <w:numId w:val="2"/>
              </w:numPr>
              <w:spacing w:after="30" w:before="30"/>
            </w:pPr>
            <w:r>
              <w:rPr>
                <w:rFonts w:ascii="Arial" w:cs="Arial" w:eastAsia="Arial" w:hAnsi="Arial"/>
                <w:b w:val="false"/>
                <w:bCs w:val="false"/>
                <w:color w:val="000000"/>
                <w:sz w:val="19"/>
                <w:szCs w:val="19"/>
              </w:rPr>
              <w:t xml:space="preserve">Cascade devise (5 flux — tous les objets)</w:t>
            </w:r>
          </w:p>
          <w:p>
            <w:pPr>
              <w:pStyle w:val="ListParagraph"/>
              <w:numPr>
                <w:ilvl w:val="0"/>
                <w:numId w:val="2"/>
              </w:numPr>
              <w:spacing w:after="30" w:before="30"/>
            </w:pPr>
            <w:r>
              <w:rPr>
                <w:rFonts w:ascii="Arial" w:cs="Arial" w:eastAsia="Arial" w:hAnsi="Arial"/>
                <w:b w:val="false"/>
                <w:bCs w:val="false"/>
                <w:color w:val="000000"/>
                <w:sz w:val="19"/>
                <w:szCs w:val="19"/>
              </w:rPr>
              <w:t xml:space="preserve">10 devises configurées</w:t>
            </w:r>
          </w:p>
          <w:p>
            <w:pPr>
              <w:pStyle w:val="ListParagraph"/>
              <w:numPr>
                <w:ilvl w:val="0"/>
                <w:numId w:val="2"/>
              </w:numPr>
              <w:spacing w:after="30" w:before="30"/>
            </w:pPr>
            <w:r>
              <w:rPr>
                <w:rFonts w:ascii="Arial" w:cs="Arial" w:eastAsia="Arial" w:hAnsi="Arial"/>
                <w:b w:val="false"/>
                <w:bCs w:val="false"/>
                <w:color w:val="000000"/>
                <w:sz w:val="19"/>
                <w:szCs w:val="19"/>
              </w:rPr>
              <w:t xml:space="preserve">17 rôles + 13 ensembles de permissions + 16 groupes PSG</w:t>
            </w:r>
          </w:p>
          <w:p>
            <w:pPr>
              <w:pStyle w:val="ListParagraph"/>
              <w:numPr>
                <w:ilvl w:val="0"/>
                <w:numId w:val="2"/>
              </w:numPr>
              <w:spacing w:after="30" w:before="30"/>
            </w:pPr>
            <w:r>
              <w:rPr>
                <w:rFonts w:ascii="Arial" w:cs="Arial" w:eastAsia="Arial" w:hAnsi="Arial"/>
                <w:b w:val="false"/>
                <w:bCs w:val="false"/>
                <w:color w:val="000000"/>
                <w:sz w:val="19"/>
                <w:szCs w:val="19"/>
              </w:rPr>
              <w:t xml:space="preserve">7 emprunteurs de test avec données réelles</w:t>
            </w:r>
          </w:p>
          <w:p>
            <w:pPr>
              <w:pStyle w:val="ListParagraph"/>
              <w:numPr>
                <w:ilvl w:val="0"/>
                <w:numId w:val="2"/>
              </w:numPr>
              <w:spacing w:after="30" w:before="30"/>
            </w:pPr>
            <w:r>
              <w:rPr>
                <w:rFonts w:ascii="Arial" w:cs="Arial" w:eastAsia="Arial" w:hAnsi="Arial"/>
                <w:b w:val="false"/>
                <w:bCs w:val="false"/>
                <w:color w:val="000000"/>
                <w:sz w:val="19"/>
                <w:szCs w:val="19"/>
              </w:rPr>
              <w:t xml:space="preserve">10 rapports + 4 tableaux de bord</w:t>
            </w:r>
          </w:p>
          <w:p>
            <w:pPr>
              <w:pStyle w:val="ListParagraph"/>
              <w:numPr>
                <w:ilvl w:val="0"/>
                <w:numId w:val="2"/>
              </w:numPr>
              <w:spacing w:after="30" w:before="30"/>
            </w:pPr>
            <w:r>
              <w:rPr>
                <w:rFonts w:ascii="Arial" w:cs="Arial" w:eastAsia="Arial" w:hAnsi="Arial"/>
                <w:b w:val="false"/>
                <w:bCs w:val="false"/>
                <w:color w:val="000000"/>
                <w:sz w:val="19"/>
                <w:szCs w:val="19"/>
              </w:rPr>
              <w:t xml:space="preserve">5 types de rapports personnalisés + 4 vues de liste</w:t>
            </w:r>
          </w:p>
          <w:p>
            <w:pPr>
              <w:pStyle w:val="ListParagraph"/>
              <w:numPr>
                <w:ilvl w:val="0"/>
                <w:numId w:val="2"/>
              </w:numPr>
              <w:spacing w:after="30" w:before="30"/>
            </w:pPr>
            <w:r>
              <w:rPr>
                <w:rFonts w:ascii="Arial" w:cs="Arial" w:eastAsia="Arial" w:hAnsi="Arial"/>
                <w:b w:val="false"/>
                <w:bCs w:val="false"/>
                <w:color w:val="000000"/>
                <w:sz w:val="19"/>
                <w:szCs w:val="19"/>
              </w:rPr>
              <w:t xml:space="preserve">2 flux d'écran Experience Cloud</w:t>
            </w:r>
          </w:p>
          <w:p>
            <w:pPr>
              <w:pStyle w:val="ListParagraph"/>
              <w:numPr>
                <w:ilvl w:val="0"/>
                <w:numId w:val="2"/>
              </w:numPr>
              <w:spacing w:after="30" w:before="30"/>
            </w:pPr>
            <w:r>
              <w:rPr>
                <w:rFonts w:ascii="Arial" w:cs="Arial" w:eastAsia="Arial" w:hAnsi="Arial"/>
                <w:b w:val="false"/>
                <w:bCs w:val="false"/>
                <w:color w:val="000000"/>
                <w:sz w:val="19"/>
                <w:szCs w:val="19"/>
              </w:rPr>
              <w:t xml:space="preserve">Piste d'audit complète</w:t>
            </w:r>
          </w:p>
          <w:p>
            <w:pPr>
              <w:pStyle w:val="ListParagraph"/>
              <w:numPr>
                <w:ilvl w:val="0"/>
                <w:numId w:val="2"/>
              </w:numPr>
              <w:spacing w:after="30" w:before="30"/>
            </w:pPr>
            <w:r>
              <w:rPr>
                <w:rFonts w:ascii="Arial" w:cs="Arial" w:eastAsia="Arial" w:hAnsi="Arial"/>
                <w:b w:val="false"/>
                <w:bCs w:val="false"/>
                <w:color w:val="000000"/>
                <w:sz w:val="19"/>
                <w:szCs w:val="19"/>
              </w:rPr>
              <w:t xml:space="preserve">Détection violation covenant en temps réel</w:t>
            </w:r>
          </w:p>
          <w:p>
            <w:pPr>
              <w:pStyle w:val="ListParagraph"/>
              <w:numPr>
                <w:ilvl w:val="0"/>
                <w:numId w:val="2"/>
              </w:numPr>
              <w:spacing w:after="30" w:before="30"/>
            </w:pPr>
            <w:r>
              <w:rPr>
                <w:rFonts w:ascii="Arial" w:cs="Arial" w:eastAsia="Arial" w:hAnsi="Arial"/>
                <w:b w:val="false"/>
                <w:bCs w:val="false"/>
                <w:color w:val="000000"/>
                <w:sz w:val="19"/>
                <w:szCs w:val="19"/>
              </w:rPr>
              <w:t xml:space="preserve">Flux de surveillance programmés (quotidiens + hebdomadaires)</w:t>
            </w:r>
          </w:p>
        </w:tc>
        <w:tc>
          <w:tcPr>
            <w:tcW w:type="dxa" w:w="4680"/>
            <w:tcBorders>
              <w:top w:val="single" w:color="E2E8F0" w:sz="1"/>
              <w:left w:val="single" w:color="E2E8F0" w:sz="1"/>
              <w:bottom w:val="single" w:color="E2E8F0" w:sz="1"/>
              <w:right w:val="single" w:color="E2E8F0" w:sz="1"/>
            </w:tcBorders>
            <w:shd w:fill="FFF8E6" w:val="clear"/>
            <w:tcMar>
              <w:top w:type="dxa" w:w="140"/>
              <w:left w:type="dxa" w:w="160"/>
              <w:bottom w:type="dxa" w:w="140"/>
              <w:right w:type="dxa" w:w="160"/>
            </w:tcMar>
          </w:tcPr>
          <w:p>
            <w:pPr>
              <w:spacing w:after="60" w:before="0"/>
              <w:jc w:val="left"/>
            </w:pPr>
            <w:r>
              <w:rPr>
                <w:rFonts w:ascii="Arial" w:cs="Arial" w:eastAsia="Arial" w:hAnsi="Arial"/>
                <w:b/>
                <w:bCs/>
                <w:i w:val="false"/>
                <w:iCs w:val="false"/>
                <w:color w:val="C8920A"/>
                <w:sz w:val="20"/>
                <w:szCs w:val="20"/>
              </w:rPr>
              <w:t xml:space="preserve">⏳ En Conception — En Attente du Déploiement Production</w:t>
            </w:r>
          </w:p>
          <w:p>
            <w:pPr>
              <w:pStyle w:val="ListParagraph"/>
              <w:numPr>
                <w:ilvl w:val="0"/>
                <w:numId w:val="2"/>
              </w:numPr>
              <w:spacing w:after="30" w:before="30"/>
            </w:pPr>
            <w:r>
              <w:rPr>
                <w:rFonts w:ascii="Arial" w:cs="Arial" w:eastAsia="Arial" w:hAnsi="Arial"/>
                <w:b w:val="false"/>
                <w:bCs w:val="false"/>
                <w:color w:val="000000"/>
                <w:sz w:val="19"/>
                <w:szCs w:val="19"/>
              </w:rPr>
              <w:t xml:space="preserve">Portail Experience Cloud — 6 pages conçues, en attente de licence Customer Community Plus</w:t>
            </w:r>
          </w:p>
          <w:p>
            <w:pPr>
              <w:pStyle w:val="ListParagraph"/>
              <w:numPr>
                <w:ilvl w:val="0"/>
                <w:numId w:val="2"/>
              </w:numPr>
              <w:spacing w:after="30" w:before="30"/>
            </w:pPr>
            <w:r>
              <w:rPr>
                <w:rFonts w:ascii="Arial" w:cs="Arial" w:eastAsia="Arial" w:hAnsi="Arial"/>
                <w:b w:val="false"/>
                <w:bCs w:val="false"/>
                <w:color w:val="000000"/>
                <w:sz w:val="19"/>
                <w:szCs w:val="19"/>
              </w:rPr>
              <w:t xml:space="preserve">Intégration API REST Orange Money — logique construite, nécessite endpoint en direct</w:t>
            </w:r>
          </w:p>
          <w:p>
            <w:pPr>
              <w:pStyle w:val="ListParagraph"/>
              <w:numPr>
                <w:ilvl w:val="0"/>
                <w:numId w:val="2"/>
              </w:numPr>
              <w:spacing w:after="30" w:before="30"/>
            </w:pPr>
            <w:r>
              <w:rPr>
                <w:rFonts w:ascii="Arial" w:cs="Arial" w:eastAsia="Arial" w:hAnsi="Arial"/>
                <w:b w:val="false"/>
                <w:bCs w:val="false"/>
                <w:color w:val="000000"/>
                <w:sz w:val="19"/>
                <w:szCs w:val="19"/>
              </w:rPr>
              <w:t xml:space="preserve">Intégration API REST MTN MoMo — logique construite, nécessite endpoint en direct</w:t>
            </w:r>
          </w:p>
          <w:p>
            <w:pPr>
              <w:pStyle w:val="ListParagraph"/>
              <w:numPr>
                <w:ilvl w:val="0"/>
                <w:numId w:val="2"/>
              </w:numPr>
              <w:spacing w:after="30" w:before="30"/>
            </w:pPr>
            <w:r>
              <w:rPr>
                <w:rFonts w:ascii="Arial" w:cs="Arial" w:eastAsia="Arial" w:hAnsi="Arial"/>
                <w:b w:val="false"/>
                <w:bCs w:val="false"/>
                <w:color w:val="000000"/>
                <w:sz w:val="19"/>
                <w:szCs w:val="19"/>
              </w:rPr>
              <w:t xml:space="preserve">API WhatsApp Business — nécessite vérification Meta Business</w:t>
            </w:r>
          </w:p>
          <w:p>
            <w:pPr>
              <w:pStyle w:val="ListParagraph"/>
              <w:numPr>
                <w:ilvl w:val="0"/>
                <w:numId w:val="2"/>
              </w:numPr>
              <w:spacing w:after="30" w:before="30"/>
            </w:pPr>
            <w:r>
              <w:rPr>
                <w:rFonts w:ascii="Arial" w:cs="Arial" w:eastAsia="Arial" w:hAnsi="Arial"/>
                <w:b w:val="false"/>
                <w:bCs w:val="false"/>
                <w:color w:val="000000"/>
                <w:sz w:val="19"/>
                <w:szCs w:val="19"/>
              </w:rPr>
              <w:t xml:space="preserve">Synchronisation API Système Core Banking — nécessite documentation API fournisseur</w:t>
            </w:r>
          </w:p>
          <w:p>
            <w:pPr>
              <w:pStyle w:val="ListParagraph"/>
              <w:numPr>
                <w:ilvl w:val="0"/>
                <w:numId w:val="2"/>
              </w:numPr>
              <w:spacing w:after="30" w:before="30"/>
            </w:pPr>
            <w:r>
              <w:rPr>
                <w:rFonts w:ascii="Arial" w:cs="Arial" w:eastAsia="Arial" w:hAnsi="Arial"/>
                <w:b w:val="false"/>
                <w:bCs w:val="false"/>
                <w:color w:val="000000"/>
                <w:sz w:val="19"/>
                <w:szCs w:val="19"/>
              </w:rPr>
              <w:t xml:space="preserve">Salesforce Mobile Plus (Briefcase hors ligne) — nécessite licence payante</w:t>
            </w:r>
          </w:p>
          <w:p>
            <w:pPr>
              <w:pStyle w:val="ListParagraph"/>
              <w:numPr>
                <w:ilvl w:val="0"/>
                <w:numId w:val="2"/>
              </w:numPr>
              <w:spacing w:after="30" w:before="30"/>
            </w:pPr>
            <w:r>
              <w:rPr>
                <w:rFonts w:ascii="Arial" w:cs="Arial" w:eastAsia="Arial" w:hAnsi="Arial"/>
                <w:b w:val="false"/>
                <w:bCs w:val="false"/>
                <w:color w:val="000000"/>
                <w:sz w:val="19"/>
                <w:szCs w:val="19"/>
              </w:rPr>
              <w:t xml:space="preserve">Authentification OTP SMS — nécessite licence Salesforce Identity</w:t>
            </w:r>
          </w:p>
          <w:p>
            <w:pPr>
              <w:pStyle w:val="ListParagraph"/>
              <w:numPr>
                <w:ilvl w:val="0"/>
                <w:numId w:val="2"/>
              </w:numPr>
              <w:spacing w:after="30" w:before="30"/>
            </w:pPr>
            <w:r>
              <w:rPr>
                <w:rFonts w:ascii="Arial" w:cs="Arial" w:eastAsia="Arial" w:hAnsi="Arial"/>
                <w:b w:val="false"/>
                <w:bCs w:val="false"/>
                <w:color w:val="000000"/>
                <w:sz w:val="19"/>
                <w:szCs w:val="19"/>
              </w:rPr>
              <w:t xml:space="preserve">Capture de géolocalisation pour agents terrain</w:t>
            </w:r>
          </w:p>
          <w:p>
            <w:pPr>
              <w:pStyle w:val="ListParagraph"/>
              <w:numPr>
                <w:ilvl w:val="0"/>
                <w:numId w:val="2"/>
              </w:numPr>
              <w:spacing w:after="30" w:before="30"/>
            </w:pPr>
            <w:r>
              <w:rPr>
                <w:rFonts w:ascii="Arial" w:cs="Arial" w:eastAsia="Arial" w:hAnsi="Arial"/>
                <w:b w:val="false"/>
                <w:bCs w:val="false"/>
                <w:color w:val="000000"/>
                <w:sz w:val="19"/>
                <w:szCs w:val="19"/>
              </w:rPr>
              <w:t xml:space="preserve">Prédiction de risque par IA (Agentforce — 1 siège disponible)</w:t>
            </w:r>
          </w:p>
          <w:p>
            <w:pPr>
              <w:pStyle w:val="ListParagraph"/>
              <w:numPr>
                <w:ilvl w:val="0"/>
                <w:numId w:val="2"/>
              </w:numPr>
              <w:spacing w:after="30" w:before="30"/>
            </w:pPr>
            <w:r>
              <w:rPr>
                <w:rFonts w:ascii="Arial" w:cs="Arial" w:eastAsia="Arial" w:hAnsi="Arial"/>
                <w:b w:val="false"/>
                <w:bCs w:val="false"/>
                <w:color w:val="000000"/>
                <w:sz w:val="19"/>
                <w:szCs w:val="19"/>
              </w:rPr>
              <w:t xml:space="preserve">Activation complète des 17 rôles utilisateurs (actuellement 5 sur 17 rôles ont des utilisateurs actifs)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F3C" w:val="clear"/>
            <w:tcMar>
              <w:top w:type="dxa" w:w="400"/>
              <w:left w:type="dxa" w:w="400"/>
              <w:bottom w:type="dxa" w:w="400"/>
              <w:right w:type="dxa" w:w="400"/>
            </w:tcMar>
          </w:tcPr>
          <w:p>
            <w:pPr>
              <w:spacing w:after="80" w:before="0"/>
              <w:jc w:val="center"/>
            </w:pPr>
            <w:r>
              <w:rPr>
                <w:rFonts w:ascii="Arial" w:cs="Arial" w:eastAsia="Arial" w:hAnsi="Arial"/>
                <w:b/>
                <w:bCs/>
                <w:color w:val="FFFFFF"/>
                <w:sz w:val="36"/>
                <w:szCs w:val="36"/>
              </w:rPr>
              <w:t xml:space="preserve">CoreFinance360 — Complet</w:t>
            </w:r>
          </w:p>
          <w:p>
            <w:pPr>
              <w:spacing w:after="80" w:before="0"/>
              <w:jc w:val="center"/>
            </w:pPr>
            <w:r>
              <w:rPr>
                <w:rFonts w:ascii="Arial" w:cs="Arial" w:eastAsia="Arial" w:hAnsi="Arial"/>
                <w:color w:val="AAAAAA"/>
                <w:sz w:val="18"/>
                <w:szCs w:val="18"/>
              </w:rPr>
              <w:t xml:space="preserve">7 Couches  ·  12 Objets  ·  27+ Flux  ·  8 Règles de Validation  ·  3 Processus d'Approbation  ·  10 Devises  ·  17 Rôles</w:t>
            </w:r>
          </w:p>
          <w:p>
            <w:pPr>
              <w:spacing w:after="0" w:before="0"/>
              <w:jc w:val="center"/>
            </w:pPr>
            <w:r>
              <w:rPr>
                <w:rFonts w:ascii="Arial" w:cs="Arial" w:eastAsia="Arial" w:hAnsi="Arial"/>
                <w:color w:val="666666"/>
                <w:sz w:val="16"/>
                <w:szCs w:val="16"/>
              </w:rPr>
              <w:t xml:space="preserve">Construit par Therence Ngoa  ·  Mai 2026  ·  Salesforce Developer Edition  ·  Org ID: 00DNS00000r86g1</w:t>
            </w:r>
          </w:p>
        </w:tc>
      </w:tr>
    </w:tbl>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2026-05-28T15:20:00.713Z</dcterms:created>
  <dcterms:modified xsi:type="dcterms:W3CDTF">2026-05-28T15:20:00.727Z</dcterms:modified>
</cp:coreProperties>
</file>

<file path=docProps/custom.xml><?xml version="1.0" encoding="utf-8"?>
<Properties xmlns="http://schemas.openxmlformats.org/officeDocument/2006/custom-properties" xmlns:vt="http://schemas.openxmlformats.org/officeDocument/2006/docPropsVTypes"/>
</file>