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20"/>
        <w:jc w:val="center"/>
        <w:rPr>
          <w:rFonts w:ascii="Calibri" w:hAnsi="Calibri" w:eastAsia="Calibri" w:cs="Calibri"/>
          <w:b/>
          <w:b/>
          <w:sz w:val="44"/>
          <w:szCs w:val="44"/>
        </w:rPr>
      </w:pPr>
      <w:r>
        <w:rPr>
          <w:rFonts w:eastAsia="Calibri" w:cs="Calibri" w:ascii="Calibri" w:hAnsi="Calibri"/>
          <w:b/>
          <w:sz w:val="44"/>
          <w:szCs w:val="44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  <w:b/>
          <w:b/>
          <w:sz w:val="44"/>
          <w:szCs w:val="44"/>
        </w:rPr>
      </w:pPr>
      <w:r>
        <w:rPr>
          <w:rFonts w:eastAsia="Calibri" w:cs="Calibri" w:ascii="Calibri" w:hAnsi="Calibri"/>
          <w:b/>
          <w:sz w:val="44"/>
          <w:szCs w:val="44"/>
        </w:rPr>
      </w:r>
    </w:p>
    <w:p>
      <w:pPr>
        <w:pStyle w:val="Normal"/>
        <w:ind w:firstLine="720"/>
        <w:rPr>
          <w:rFonts w:ascii="Calibri" w:hAnsi="Calibri" w:eastAsia="Calibri" w:cs="Calibri"/>
          <w:b/>
          <w:b/>
          <w:sz w:val="44"/>
          <w:szCs w:val="44"/>
        </w:rPr>
      </w:pPr>
      <w:r>
        <w:rPr>
          <w:rFonts w:eastAsia="Calibri" w:cs="Calibri" w:ascii="Calibri" w:hAnsi="Calibri"/>
          <w:b/>
          <w:sz w:val="44"/>
          <w:szCs w:val="44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  <w:b/>
          <w:b/>
          <w:sz w:val="44"/>
          <w:szCs w:val="44"/>
        </w:rPr>
      </w:pPr>
      <w:r>
        <w:rPr>
          <w:rFonts w:eastAsia="Calibri" w:cs="Calibri" w:ascii="Calibri" w:hAnsi="Calibri"/>
          <w:b/>
          <w:sz w:val="44"/>
          <w:szCs w:val="44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  <w:b/>
          <w:b/>
          <w:sz w:val="44"/>
          <w:szCs w:val="44"/>
        </w:rPr>
      </w:pPr>
      <w:r>
        <w:rPr>
          <w:rFonts w:eastAsia="Calibri" w:cs="Calibri" w:ascii="Calibri" w:hAnsi="Calibri"/>
          <w:b/>
          <w:sz w:val="44"/>
          <w:szCs w:val="44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  <w:b/>
          <w:b/>
          <w:sz w:val="44"/>
          <w:szCs w:val="44"/>
        </w:rPr>
      </w:pPr>
      <w:r>
        <w:rPr>
          <w:rFonts w:eastAsia="Calibri" w:cs="Calibri" w:ascii="Calibri" w:hAnsi="Calibri"/>
          <w:b/>
          <w:sz w:val="44"/>
          <w:szCs w:val="44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  <w:color w:val="1C4587"/>
          <w:sz w:val="64"/>
          <w:szCs w:val="64"/>
        </w:rPr>
      </w:pPr>
      <w:r>
        <w:rPr>
          <w:rFonts w:eastAsia="Calibri" w:cs="Calibri" w:ascii="Calibri" w:hAnsi="Calibri"/>
          <w:color w:val="1C4587"/>
          <w:sz w:val="64"/>
          <w:szCs w:val="64"/>
        </w:rPr>
        <w:t>Manuel utilisateur</w:t>
      </w:r>
    </w:p>
    <w:p>
      <w:pPr>
        <w:pStyle w:val="Normal"/>
        <w:ind w:firstLine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Réalisateurs</w:t>
      </w:r>
    </w:p>
    <w:p>
      <w:pPr>
        <w:pStyle w:val="Normal"/>
        <w:ind w:firstLine="72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Kerleo Killian</w:t>
      </w:r>
    </w:p>
    <w:p>
      <w:pPr>
        <w:pStyle w:val="Normal"/>
        <w:ind w:firstLine="72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Louzolo Guez</w:t>
      </w:r>
    </w:p>
    <w:p>
      <w:pPr>
        <w:pStyle w:val="Normal"/>
        <w:ind w:firstLine="720"/>
        <w:jc w:val="center"/>
        <w:rPr/>
      </w:pPr>
      <w:r>
        <w:rPr>
          <w:rFonts w:eastAsia="Calibri" w:cs="Calibri" w:ascii="Calibri" w:hAnsi="Calibri"/>
        </w:rPr>
        <w:t>Larmet Maxence</w:t>
      </w:r>
    </w:p>
    <w:p>
      <w:pPr>
        <w:pStyle w:val="Normal"/>
        <w:ind w:firstLine="720"/>
        <w:jc w:val="center"/>
        <w:rPr>
          <w:rFonts w:ascii="Calibri" w:hAnsi="Calibri" w:eastAsia="Calibri" w:cs="Calibri"/>
          <w:sz w:val="46"/>
          <w:szCs w:val="46"/>
        </w:rPr>
      </w:pPr>
      <w:r>
        <w:rPr>
          <w:rFonts w:eastAsia="Calibri" w:cs="Calibri" w:ascii="Calibri" w:hAnsi="Calibri"/>
        </w:rPr>
        <w:t>Person Kalvin</w:t>
      </w:r>
    </w:p>
    <w:p>
      <w:pPr>
        <w:pStyle w:val="Normal"/>
        <w:ind w:firstLine="720"/>
        <w:jc w:val="center"/>
        <w:rPr/>
      </w:pPr>
      <w:r>
        <w:rPr>
          <w:rFonts w:eastAsia="Calibri" w:cs="Calibri" w:ascii="Calibri" w:hAnsi="Calibri"/>
        </w:rPr>
        <w:t>Ahmed Rizki</w:t>
      </w:r>
    </w:p>
    <w:p>
      <w:pPr>
        <w:pStyle w:val="Normal"/>
        <w:ind w:firstLine="72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2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8"/>
          <w:szCs w:val="28"/>
        </w:rPr>
        <w:t>Introduction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Le document que vous tenez actuellement entre vos mains va vous permettre de prendre en main notre logiciel.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Cette page web vous permettra de gérer votre association en toute simplicité.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1- Se connecter -S'inscrire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367020" cy="312928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2-Gestion d'adhésion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Après chaque inscription, le responsable d'adhésion peut accepter ou refuser une demande 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4943475" cy="283337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L'adhérent peut voir son profil et vérifier ses informations en cliquant sur l'icône profil 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31510" cy="32893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3-Partage des fichiers</w:t>
      </w:r>
      <w:r>
        <w:rPr/>
        <w:drawing>
          <wp:inline distT="0" distB="0" distL="0" distR="0">
            <wp:extent cx="5731510" cy="32893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Notre application permet aussi de partager les fichiers.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Pour partager un fichier, il faut cliquer sur importer et choisir un fichier de type PDF avec taille maximum 50,7 Ko 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4-Gestion des événements: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Notre application permet aux membres de groupe de créer un événement, le supprimer et le modifier selon la disponibilité.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31510" cy="3302000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5-Visualisation des événements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Chaque utilisateur peut visualiser les événements.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L’option d’événement privé uniquement pour les adhérents et qui n’est donc pas accessible pour tous les utilisateurs existe aussi. 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31510" cy="3352800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L’utilisateur (adhérent ou non) peut s’inscrire à l'événement souhaité en cliquant sur le bouton S’inscrire.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5-Gestion des groupes </w:t>
      </w:r>
    </w:p>
    <w:p>
      <w:pPr>
        <w:pStyle w:val="Normal"/>
        <w:ind w:firstLine="72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a- Vision Adherent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Le membre peut accéder à une liste de propositions et en sélectionner une.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Il peut la modifier comme il le souhaite et sauvegarder ses résultats.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31510" cy="3187700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b-Vision membre du groupe 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Le responsable peut bloquer l’accès à une proposition et voter pour cette proposition. 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Le membre reçoit une notification de vote avec le temps qu’il a pour voter et vote dans le temps imparti. Si le vote global est concluant, le membre n’a plus accès à cette proposition.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31510" cy="3251200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6-Cotisation annuelle 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31510" cy="2273300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Un trésorier se connecte et accède à l’onglet “Cotisations”.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clique sur “Inscrire adhérent” .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Un formulaire demandant de renseigner les informations suivantes apparaît : L’année de la cotisation qui est sélectionnable dans une liste des années de cotisations existantes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Numéro de l’adhérent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Périodicité (mensuelle, trimestrielle, annuelle) 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Montant à payer (en euro)</w:t>
      </w:r>
    </w:p>
    <w:p>
      <w:pPr>
        <w:pStyle w:val="Normal"/>
        <w:ind w:lef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7-Communication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6</Pages>
  <Words>317</Words>
  <Characters>1787</Characters>
  <CharactersWithSpaces>2078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2023-02-14T03:38:12Z</dcterms:modified>
  <cp:revision>1</cp:revision>
  <dc:subject/>
  <dc:title/>
</cp:coreProperties>
</file>