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140"/>
              <w:left w:type="dxa" w:w="200"/>
              <w:bottom w:type="dxa" w:w="140"/>
              <w:right w:type="dxa" w:w="200"/>
            </w:tcMar>
          </w:tcPr>
          <w:p>
            <w:r>
              <w:rPr>
                <w:rFonts w:ascii="Arial" w:cs="Arial" w:eastAsia="Arial" w:hAnsi="Arial"/>
                <w:b/>
                <w:bCs/>
                <w:color w:val="FFFFFF"/>
                <w:sz w:val="26"/>
                <w:szCs w:val="26"/>
              </w:rPr>
              <w:t xml:space="preserve">EXPERT ORACLE — DETAILED PROJECT REPORT</w:t>
            </w:r>
          </w:p>
        </w:tc>
      </w:tr>
    </w:tbl>
    <w:p>
      <w:pPr>
        <w:spacing w:after="120" w:before="0"/>
      </w:pPr>
    </w:p>
    <w:p>
      <w:pPr>
        <w:spacing w:after="80" w:before="100"/>
        <w:jc w:val="center"/>
      </w:pPr>
      <w:r>
        <w:rPr>
          <w:rFonts w:ascii="Arial" w:cs="Arial" w:eastAsia="Arial" w:hAnsi="Arial"/>
          <w:b/>
          <w:bCs/>
          <w:i w:val="false"/>
          <w:iCs w:val="false"/>
          <w:color w:val="F59E0B"/>
          <w:sz w:val="38"/>
          <w:szCs w:val="38"/>
        </w:rPr>
        <w:t xml:space="preserve">Knowledge Immortalization Agent</w:t>
      </w:r>
    </w:p>
    <w:p>
      <w:pPr>
        <w:spacing w:after="80" w:before="100"/>
        <w:jc w:val="center"/>
      </w:pPr>
      <w:r>
        <w:rPr>
          <w:rFonts w:ascii="Arial" w:cs="Arial" w:eastAsia="Arial" w:hAnsi="Arial"/>
          <w:b w:val="false"/>
          <w:bCs w:val="false"/>
          <w:i w:val="false"/>
          <w:iCs w:val="false"/>
          <w:color w:val="6B7280"/>
          <w:sz w:val="24"/>
          <w:szCs w:val="24"/>
        </w:rPr>
        <w:t xml:space="preserve">Decision Intelligence System  |  Version 2.0</w:t>
      </w:r>
    </w:p>
    <w:p>
      <w:pPr>
        <w:spacing w:after="80" w:before="100"/>
        <w:jc w:val="center"/>
      </w:pPr>
      <w:r>
        <w:rPr>
          <w:rFonts w:ascii="Arial" w:cs="Arial" w:eastAsia="Arial" w:hAnsi="Arial"/>
          <w:b w:val="false"/>
          <w:bCs w:val="false"/>
          <w:i/>
          <w:iCs/>
          <w:color w:val="0EA5E9"/>
          <w:sz w:val="24"/>
          <w:szCs w:val="24"/>
        </w:rPr>
        <w:t xml:space="preserve">"The expert never truly retires."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val="false"/>
                <w:bCs w:val="false"/>
                <w:color w:val="FFFFFF"/>
                <w:sz w:val="20"/>
                <w:szCs w:val="20"/>
              </w:rPr>
              <w:t xml:space="preserve">Details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Student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Chamodi Gunasinghe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Programme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BSc Applied Data Science Communication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Course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 Science Applications and AI [LB3114]</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Assignment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Assignment II — Intake 41 | 3rd Year 1st Semester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Deadline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30th April 2026</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Project Type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Individual Project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System Name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Expert Oracle — Knowledge Immortalization Agent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v2.0 — Decision Intelligence System</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Technologies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Groq API · LangChain · ChromaDB · sentence-transformers · Streamlit</w:t>
            </w:r>
          </w:p>
        </w:tc>
      </w:tr>
    </w:tbl>
    <w:p>
      <w:r>
        <w:br w:type="page"/>
      </w:r>
    </w:p>
    <w:p>
      <w:pPr>
        <w:pStyle w:val="Heading1"/>
        <w:spacing w:after="160" w:before="320"/>
      </w:pPr>
      <w:r>
        <w:rPr>
          <w:rFonts w:ascii="Arial" w:cs="Arial" w:eastAsia="Arial" w:hAnsi="Arial"/>
          <w:b/>
          <w:bCs/>
          <w:color w:val="0D1117"/>
          <w:sz w:val="36"/>
          <w:szCs w:val="36"/>
        </w:rPr>
        <w:t xml:space="preserve">1. Executive Summary</w:t>
      </w:r>
    </w:p>
    <w:p>
      <w:pPr>
        <w:spacing w:after="140" w:before="60"/>
      </w:pPr>
      <w:r>
        <w:rPr>
          <w:rFonts w:ascii="Arial" w:cs="Arial" w:eastAsia="Arial" w:hAnsi="Arial"/>
          <w:color w:val="111827"/>
          <w:sz w:val="22"/>
          <w:szCs w:val="22"/>
        </w:rPr>
        <w:t xml:space="preserve">Expert Oracle is an autonomous AI agent system that preserves irreplaceable human expertise through structured conversational interviews. It extracts decision logic in machine-readable format and makes that knowledge permanently queryable through an intelligent Expert Twin. The system transforms tacit institutional knowledge into a living, reasoning knowledge base that organisations can consult forever.</w:t>
      </w:r>
    </w:p>
    <w:p>
      <w:pPr>
        <w:spacing w:after="140" w:before="60"/>
      </w:pPr>
      <w:r>
        <w:rPr>
          <w:rFonts w:ascii="Arial" w:cs="Arial" w:eastAsia="Arial" w:hAnsi="Arial"/>
          <w:color w:val="111827"/>
          <w:sz w:val="22"/>
          <w:szCs w:val="22"/>
        </w:rPr>
        <w:t xml:space="preserve">The project directly addresses a $4.1 trillion annual problem: the institutional knowledge that walks out the door when senior experts leave organisations. Unlike traditional knowledge management systems that capture documents and facts, Expert Oracle captures reasoning — the WHY behind every decision, not just the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2"/>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b/>
                <w:bCs/>
                <w:color w:val="111827"/>
                <w:sz w:val="22"/>
                <w:szCs w:val="22"/>
              </w:rPr>
              <w:t xml:space="preserve">Core Distinction</w:t>
            </w:r>
          </w:p>
          <w:p>
            <w:r>
              <w:rPr>
                <w:rFonts w:ascii="Arial" w:cs="Arial" w:eastAsia="Arial" w:hAnsi="Arial"/>
                <w:color w:val="6B7280"/>
                <w:sz w:val="21"/>
                <w:szCs w:val="21"/>
              </w:rPr>
              <w:t xml:space="preserve">This is not a chatbot. It is a Decision Intelligence System. Every answer the Expert Twin provides is grounded in the specific person's stored reasoning patterns, past situations, and decision logic — not generic AI knowledge.</w:t>
            </w:r>
          </w:p>
        </w:tc>
      </w:tr>
    </w:tbl>
    <w:p>
      <w:pPr>
        <w:spacing w:after="120" w:before="0"/>
      </w:pPr>
    </w:p>
    <w:p>
      <w:r>
        <w:br w:type="page"/>
      </w:r>
    </w:p>
    <w:p>
      <w:pPr>
        <w:pStyle w:val="Heading1"/>
        <w:spacing w:after="160" w:before="320"/>
      </w:pPr>
      <w:r>
        <w:rPr>
          <w:rFonts w:ascii="Arial" w:cs="Arial" w:eastAsia="Arial" w:hAnsi="Arial"/>
          <w:b/>
          <w:bCs/>
          <w:color w:val="0D1117"/>
          <w:sz w:val="36"/>
          <w:szCs w:val="36"/>
        </w:rPr>
        <w:t xml:space="preserve">2. Problem Statement and Motivation</w:t>
      </w:r>
    </w:p>
    <w:p>
      <w:pPr>
        <w:pStyle w:val="Heading2"/>
        <w:spacing w:after="120" w:before="260"/>
      </w:pPr>
      <w:r>
        <w:rPr>
          <w:rFonts w:ascii="Arial" w:cs="Arial" w:eastAsia="Arial" w:hAnsi="Arial"/>
          <w:b/>
          <w:bCs/>
          <w:color w:val="0D1117"/>
          <w:sz w:val="28"/>
          <w:szCs w:val="28"/>
        </w:rPr>
        <w:t xml:space="preserve">2.1 The Real-World Problem</w:t>
      </w:r>
    </w:p>
    <w:p>
      <w:pPr>
        <w:spacing w:after="140" w:before="60"/>
      </w:pPr>
      <w:r>
        <w:rPr>
          <w:rFonts w:ascii="Arial" w:cs="Arial" w:eastAsia="Arial" w:hAnsi="Arial"/>
          <w:color w:val="111827"/>
          <w:sz w:val="22"/>
          <w:szCs w:val="22"/>
        </w:rPr>
        <w:t xml:space="preserve">Every organisation faces a silent crisis: when senior experts retire or leave, they take decades of undocumented reasoning with them. This is not just knowledge about facts — it is judgment. It is the ability to recognise patterns that others miss, to know when standard rules do not apply, to remember what happened the last time something similar occurred.</w:t>
      </w:r>
    </w:p>
    <w:p>
      <w:pPr>
        <w:spacing w:after="140" w:before="60"/>
      </w:pPr>
      <w:r>
        <w:rPr>
          <w:rFonts w:ascii="Arial" w:cs="Arial" w:eastAsia="Arial" w:hAnsi="Arial"/>
          <w:color w:val="111827"/>
          <w:sz w:val="22"/>
          <w:szCs w:val="22"/>
        </w:rPr>
        <w:t xml:space="preserve">This reasoning never makes it into documents, manuals, or databases. It exists only in the expert's mind. When they leave, it is gone permanently.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Impact Area</w:t>
            </w:r>
          </w:p>
        </w:tc>
        <w:tc>
          <w:tcPr>
            <w:tcW w:type="dxa" w:w="586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val="false"/>
                <w:bCs w:val="false"/>
                <w:color w:val="FFFFFF"/>
                <w:sz w:val="20"/>
                <w:szCs w:val="20"/>
              </w:rPr>
              <w:t xml:space="preserve">Scale of Problem</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Annual knowledge loss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$4.1 trillion globally (McKinsey Institute, 2023)</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Cost to replace one senior expert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$50,000 to $200,000 in recruitment and retraining</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Tacit knowledge capture rate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Less than 13% of tacit knowledge is captured in conventional handovers</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rebuild lost expertise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 to 7 years for a new hire to match a 20-year expert's judgment</w:t>
            </w:r>
          </w:p>
        </w:tc>
      </w:tr>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Affected industries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Finance, Healthcare, Engineering, Law, Manufacturing, Government</w:t>
            </w:r>
          </w:p>
        </w:tc>
      </w:tr>
    </w:tbl>
    <w:p>
      <w:pPr>
        <w:spacing w:after="120" w:before="0"/>
      </w:pPr>
    </w:p>
    <w:p>
      <w:pPr>
        <w:pStyle w:val="Heading2"/>
        <w:spacing w:after="120" w:before="260"/>
      </w:pPr>
      <w:r>
        <w:rPr>
          <w:rFonts w:ascii="Arial" w:cs="Arial" w:eastAsia="Arial" w:hAnsi="Arial"/>
          <w:b/>
          <w:bCs/>
          <w:color w:val="0D1117"/>
          <w:sz w:val="28"/>
          <w:szCs w:val="28"/>
        </w:rPr>
        <w:t xml:space="preserve">2.2 Why Existing Solutions Fail</w:t>
      </w:r>
    </w:p>
    <w:p>
      <w:pPr>
        <w:pStyle w:val="ListParagraph"/>
        <w:numPr>
          <w:ilvl w:val="0"/>
          <w:numId w:val="2"/>
        </w:numPr>
        <w:spacing w:after="80" w:before="40"/>
      </w:pPr>
      <w:r>
        <w:rPr>
          <w:rFonts w:ascii="Arial" w:cs="Arial" w:eastAsia="Arial" w:hAnsi="Arial"/>
          <w:color w:val="111827"/>
          <w:sz w:val="22"/>
          <w:szCs w:val="22"/>
        </w:rPr>
        <w:t xml:space="preserve">Document repositories capture facts, not reasoning — they tell you what was decided, never why</w:t>
      </w:r>
    </w:p>
    <w:p>
      <w:pPr>
        <w:pStyle w:val="ListParagraph"/>
        <w:numPr>
          <w:ilvl w:val="0"/>
          <w:numId w:val="2"/>
        </w:numPr>
        <w:spacing w:after="80" w:before="40"/>
      </w:pPr>
      <w:r>
        <w:rPr>
          <w:rFonts w:ascii="Arial" w:cs="Arial" w:eastAsia="Arial" w:hAnsi="Arial"/>
          <w:color w:val="111827"/>
          <w:sz w:val="22"/>
          <w:szCs w:val="22"/>
        </w:rPr>
        <w:t xml:space="preserve">Training programmes transfer surface knowledge but not the judgment developed through real failure</w:t>
      </w:r>
    </w:p>
    <w:p>
      <w:pPr>
        <w:pStyle w:val="ListParagraph"/>
        <w:numPr>
          <w:ilvl w:val="0"/>
          <w:numId w:val="2"/>
        </w:numPr>
        <w:spacing w:after="80" w:before="40"/>
      </w:pPr>
      <w:r>
        <w:rPr>
          <w:rFonts w:ascii="Arial" w:cs="Arial" w:eastAsia="Arial" w:hAnsi="Arial"/>
          <w:color w:val="111827"/>
          <w:sz w:val="22"/>
          <w:szCs w:val="22"/>
        </w:rPr>
        <w:t xml:space="preserve">Mentoring is limited by time, geography, and the mentor's availability to stay post-retirement</w:t>
      </w:r>
    </w:p>
    <w:p>
      <w:pPr>
        <w:pStyle w:val="ListParagraph"/>
        <w:numPr>
          <w:ilvl w:val="0"/>
          <w:numId w:val="2"/>
        </w:numPr>
        <w:spacing w:after="80" w:before="40"/>
      </w:pPr>
      <w:r>
        <w:rPr>
          <w:rFonts w:ascii="Arial" w:cs="Arial" w:eastAsia="Arial" w:hAnsi="Arial"/>
          <w:color w:val="111827"/>
          <w:sz w:val="22"/>
          <w:szCs w:val="22"/>
        </w:rPr>
        <w:t xml:space="preserve">Knowledge bases go stale — they capture a moment in time, not evolving reasoning patterns</w:t>
      </w:r>
    </w:p>
    <w:p>
      <w:pPr>
        <w:pStyle w:val="ListParagraph"/>
        <w:numPr>
          <w:ilvl w:val="0"/>
          <w:numId w:val="2"/>
        </w:numPr>
        <w:spacing w:after="80" w:before="40"/>
      </w:pPr>
      <w:r>
        <w:rPr>
          <w:rFonts w:ascii="Arial" w:cs="Arial" w:eastAsia="Arial" w:hAnsi="Arial"/>
          <w:color w:val="111827"/>
          <w:sz w:val="22"/>
          <w:szCs w:val="22"/>
        </w:rPr>
        <w:t xml:space="preserve">Video recordings are passive and unsearchable — you cannot ask a video a question</w:t>
      </w:r>
    </w:p>
    <w:p>
      <w:pPr>
        <w:spacing w:after="120" w:before="0"/>
      </w:pPr>
    </w:p>
    <w:p>
      <w:pPr>
        <w:pStyle w:val="Heading2"/>
        <w:spacing w:after="120" w:before="260"/>
      </w:pPr>
      <w:r>
        <w:rPr>
          <w:rFonts w:ascii="Arial" w:cs="Arial" w:eastAsia="Arial" w:hAnsi="Arial"/>
          <w:b/>
          <w:bCs/>
          <w:color w:val="0D1117"/>
          <w:sz w:val="28"/>
          <w:szCs w:val="28"/>
        </w:rPr>
        <w:t xml:space="preserve">2.3 The Scenario That Drives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2"/>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b/>
                <w:bCs/>
                <w:color w:val="111827"/>
                <w:sz w:val="22"/>
                <w:szCs w:val="22"/>
              </w:rPr>
              <w:t xml:space="preserve">Friday 5pm</w:t>
            </w:r>
          </w:p>
          <w:p>
            <w:r>
              <w:rPr>
                <w:rFonts w:ascii="Arial" w:cs="Arial" w:eastAsia="Arial" w:hAnsi="Arial"/>
                <w:color w:val="6B7280"/>
                <w:sz w:val="21"/>
                <w:szCs w:val="21"/>
              </w:rPr>
              <w:t xml:space="preserve">Dr. Margaret Chen — Senior Financial Analyst, 25 years, three recessions survived — clears her desk and retires. With her goes every pricing instinct, every crisis heuristic, every 'I have seen this before' that no meeting, no document, no knowledge base ever captured.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12"/>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b/>
                <w:bCs/>
                <w:color w:val="111827"/>
                <w:sz w:val="22"/>
                <w:szCs w:val="22"/>
              </w:rPr>
              <w:t xml:space="preserve">Monday 9am</w:t>
            </w:r>
          </w:p>
          <w:p>
            <w:r>
              <w:rPr>
                <w:rFonts w:ascii="Arial" w:cs="Arial" w:eastAsia="Arial" w:hAnsi="Arial"/>
                <w:color w:val="6B7280"/>
                <w:sz w:val="21"/>
                <w:szCs w:val="21"/>
              </w:rPr>
              <w:t xml:space="preserve">The board faces a pricing crisis. Raw materials up 34%. Competitor just cut prices 12%. The new analysts have models. They do not have judgment. What if they could still ask Margaret?</w:t>
            </w:r>
          </w:p>
        </w:tc>
      </w:tr>
    </w:tbl>
    <w:p>
      <w:pPr>
        <w:spacing w:after="120" w:before="0"/>
      </w:pPr>
    </w:p>
    <w:p>
      <w:r>
        <w:br w:type="page"/>
      </w:r>
    </w:p>
    <w:p>
      <w:pPr>
        <w:pStyle w:val="Heading1"/>
        <w:spacing w:after="160" w:before="320"/>
      </w:pPr>
      <w:r>
        <w:rPr>
          <w:rFonts w:ascii="Arial" w:cs="Arial" w:eastAsia="Arial" w:hAnsi="Arial"/>
          <w:b/>
          <w:bCs/>
          <w:color w:val="0D1117"/>
          <w:sz w:val="36"/>
          <w:szCs w:val="36"/>
        </w:rPr>
        <w:t xml:space="preserve">3. Goals and Objectives</w:t>
      </w:r>
    </w:p>
    <w:p>
      <w:pPr>
        <w:pStyle w:val="Heading2"/>
        <w:spacing w:after="120" w:before="260"/>
      </w:pPr>
      <w:r>
        <w:rPr>
          <w:rFonts w:ascii="Arial" w:cs="Arial" w:eastAsia="Arial" w:hAnsi="Arial"/>
          <w:b/>
          <w:bCs/>
          <w:color w:val="0D1117"/>
          <w:sz w:val="28"/>
          <w:szCs w:val="28"/>
        </w:rPr>
        <w:t xml:space="preserve">3.1 Primary Goal</w:t>
      </w:r>
    </w:p>
    <w:p>
      <w:pPr>
        <w:spacing w:after="140" w:before="60"/>
      </w:pPr>
      <w:r>
        <w:rPr>
          <w:rFonts w:ascii="Arial" w:cs="Arial" w:eastAsia="Arial" w:hAnsi="Arial"/>
          <w:color w:val="111827"/>
          <w:sz w:val="22"/>
          <w:szCs w:val="22"/>
        </w:rPr>
        <w:t xml:space="preserve">To design and implement an autonomous AI agent system that captures tacit human expertise through structured interviews, stores it as structured decision logic, and makes it permanently queryable through an Expert Twin that replicates the expert's reasoning patterns and communication style.</w:t>
      </w:r>
    </w:p>
    <w:p>
      <w:pPr>
        <w:pStyle w:val="Heading2"/>
        <w:spacing w:after="120" w:before="260"/>
      </w:pPr>
      <w:r>
        <w:rPr>
          <w:rFonts w:ascii="Arial" w:cs="Arial" w:eastAsia="Arial" w:hAnsi="Arial"/>
          <w:b/>
          <w:bCs/>
          <w:color w:val="0D1117"/>
          <w:sz w:val="28"/>
          <w:szCs w:val="28"/>
        </w:rPr>
        <w:t xml:space="preserve">3.2 Specific Objectives</w:t>
      </w:r>
    </w:p>
    <w:p>
      <w:pPr>
        <w:pStyle w:val="ListParagraph"/>
        <w:numPr>
          <w:ilvl w:val="0"/>
          <w:numId w:val="2"/>
        </w:numPr>
        <w:spacing w:after="80" w:before="40"/>
      </w:pPr>
      <w:r>
        <w:rPr>
          <w:rFonts w:ascii="Arial" w:cs="Arial" w:eastAsia="Arial" w:hAnsi="Arial"/>
          <w:color w:val="111827"/>
          <w:sz w:val="22"/>
          <w:szCs w:val="22"/>
        </w:rPr>
        <w:t xml:space="preserve">Design a five-agent architecture with clearly separated responsibilities: Interview, Extract, Twin, Explain, and Counterfactual</w:t>
      </w:r>
    </w:p>
    <w:p>
      <w:pPr>
        <w:pStyle w:val="ListParagraph"/>
        <w:numPr>
          <w:ilvl w:val="0"/>
          <w:numId w:val="2"/>
        </w:numPr>
        <w:spacing w:after="80" w:before="40"/>
      </w:pPr>
      <w:r>
        <w:rPr>
          <w:rFonts w:ascii="Arial" w:cs="Arial" w:eastAsia="Arial" w:hAnsi="Arial"/>
          <w:color w:val="111827"/>
          <w:sz w:val="22"/>
          <w:szCs w:val="22"/>
        </w:rPr>
        <w:t xml:space="preserve">Implement structured knowledge extraction in IF/THEN/BECAUSE format that captures reasoning, not just conclusions</w:t>
      </w:r>
    </w:p>
    <w:p>
      <w:pPr>
        <w:pStyle w:val="ListParagraph"/>
        <w:numPr>
          <w:ilvl w:val="0"/>
          <w:numId w:val="2"/>
        </w:numPr>
        <w:spacing w:after="80" w:before="40"/>
      </w:pPr>
      <w:r>
        <w:rPr>
          <w:rFonts w:ascii="Arial" w:cs="Arial" w:eastAsia="Arial" w:hAnsi="Arial"/>
          <w:color w:val="111827"/>
          <w:sz w:val="22"/>
          <w:szCs w:val="22"/>
        </w:rPr>
        <w:t xml:space="preserve">Build a vector-based episodic memory system using ChromaDB that enables semantic retrieval of relevant past situations</w:t>
      </w:r>
    </w:p>
    <w:p>
      <w:pPr>
        <w:pStyle w:val="ListParagraph"/>
        <w:numPr>
          <w:ilvl w:val="0"/>
          <w:numId w:val="2"/>
        </w:numPr>
        <w:spacing w:after="80" w:before="40"/>
      </w:pPr>
      <w:r>
        <w:rPr>
          <w:rFonts w:ascii="Arial" w:cs="Arial" w:eastAsia="Arial" w:hAnsi="Arial"/>
          <w:color w:val="111827"/>
          <w:sz w:val="22"/>
          <w:szCs w:val="22"/>
        </w:rPr>
        <w:t xml:space="preserve">Develop a tone profiling system that analyses the expert's communication style and applies it to all Expert Twin responses</w:t>
      </w:r>
    </w:p>
    <w:p>
      <w:pPr>
        <w:pStyle w:val="ListParagraph"/>
        <w:numPr>
          <w:ilvl w:val="0"/>
          <w:numId w:val="2"/>
        </w:numPr>
        <w:spacing w:after="80" w:before="40"/>
      </w:pPr>
      <w:r>
        <w:rPr>
          <w:rFonts w:ascii="Arial" w:cs="Arial" w:eastAsia="Arial" w:hAnsi="Arial"/>
          <w:color w:val="111827"/>
          <w:sz w:val="22"/>
          <w:szCs w:val="22"/>
        </w:rPr>
        <w:t xml:space="preserve">Create an explanation layer that transforms every recommendation into a grounded, reasoned argument</w:t>
      </w:r>
    </w:p>
    <w:p>
      <w:pPr>
        <w:pStyle w:val="ListParagraph"/>
        <w:numPr>
          <w:ilvl w:val="0"/>
          <w:numId w:val="2"/>
        </w:numPr>
        <w:spacing w:after="80" w:before="40"/>
      </w:pPr>
      <w:r>
        <w:rPr>
          <w:rFonts w:ascii="Arial" w:cs="Arial" w:eastAsia="Arial" w:hAnsi="Arial"/>
          <w:color w:val="111827"/>
          <w:sz w:val="22"/>
          <w:szCs w:val="22"/>
        </w:rPr>
        <w:t xml:space="preserve">Implement a counterfactual reasoning engine that can explore alternative timelines and consequence chains</w:t>
      </w:r>
    </w:p>
    <w:p>
      <w:pPr>
        <w:pStyle w:val="ListParagraph"/>
        <w:numPr>
          <w:ilvl w:val="0"/>
          <w:numId w:val="2"/>
        </w:numPr>
        <w:spacing w:after="80" w:before="40"/>
      </w:pPr>
      <w:r>
        <w:rPr>
          <w:rFonts w:ascii="Arial" w:cs="Arial" w:eastAsia="Arial" w:hAnsi="Arial"/>
          <w:color w:val="111827"/>
          <w:sz w:val="22"/>
          <w:szCs w:val="22"/>
        </w:rPr>
        <w:t xml:space="preserve">Deliver a fully functional interactive web application using Streamlit, built entirely with free tools</w:t>
      </w:r>
    </w:p>
    <w:p>
      <w:pPr>
        <w:spacing w:after="120" w:before="0"/>
      </w:pPr>
    </w:p>
    <w:p>
      <w:pPr>
        <w:pStyle w:val="Heading2"/>
        <w:spacing w:after="120" w:before="260"/>
      </w:pPr>
      <w:r>
        <w:rPr>
          <w:rFonts w:ascii="Arial" w:cs="Arial" w:eastAsia="Arial" w:hAnsi="Arial"/>
          <w:b/>
          <w:bCs/>
          <w:color w:val="0D1117"/>
          <w:sz w:val="28"/>
          <w:szCs w:val="28"/>
        </w:rPr>
        <w:t xml:space="preserve">3.3 Learning Outcomes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Learning Outcome</w:t>
            </w:r>
          </w:p>
        </w:tc>
        <w:tc>
          <w:tcPr>
            <w:tcW w:type="dxa" w:w="30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How Addressed</w:t>
            </w:r>
          </w:p>
        </w:tc>
        <w:tc>
          <w:tcPr>
            <w:tcW w:type="dxa" w:w="336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Evidence in System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Design and implement an autonomous AI agent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Five specialised agents working in coordination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interviewer.py, extractor.py, twin.py, explainer.py, counterfactual.py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Demonstrate planning, memory, reasoning, interaction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ChromaDB episodic memory, LLM reasoning, structured planning, Streamlit UI</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store.py vector database with tone and knowledge collections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Apply AI development using Python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Python implementation with professional modular architecture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Complete codebase with documented modules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Present through recorded demonstration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YouTube Short showing full system workflow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60-second portrait-mode demo video</w:t>
            </w:r>
          </w:p>
        </w:tc>
      </w:tr>
    </w:tbl>
    <w:p>
      <w:r>
        <w:br w:type="page"/>
      </w:r>
    </w:p>
    <w:p>
      <w:pPr>
        <w:pStyle w:val="Heading1"/>
        <w:spacing w:after="160" w:before="320"/>
      </w:pPr>
      <w:r>
        <w:rPr>
          <w:rFonts w:ascii="Arial" w:cs="Arial" w:eastAsia="Arial" w:hAnsi="Arial"/>
          <w:b/>
          <w:bCs/>
          <w:color w:val="0D1117"/>
          <w:sz w:val="36"/>
          <w:szCs w:val="36"/>
        </w:rPr>
        <w:t xml:space="preserve">4. System Architecture</w:t>
      </w:r>
    </w:p>
    <w:p>
      <w:pPr>
        <w:pStyle w:val="Heading2"/>
        <w:spacing w:after="120" w:before="260"/>
      </w:pPr>
      <w:r>
        <w:rPr>
          <w:rFonts w:ascii="Arial" w:cs="Arial" w:eastAsia="Arial" w:hAnsi="Arial"/>
          <w:b/>
          <w:bCs/>
          <w:color w:val="0D1117"/>
          <w:sz w:val="28"/>
          <w:szCs w:val="28"/>
        </w:rPr>
        <w:t xml:space="preserve">4.1 Multi-Agent Design</w:t>
      </w:r>
    </w:p>
    <w:p>
      <w:pPr>
        <w:spacing w:after="140" w:before="60"/>
      </w:pPr>
      <w:r>
        <w:rPr>
          <w:rFonts w:ascii="Arial" w:cs="Arial" w:eastAsia="Arial" w:hAnsi="Arial"/>
          <w:color w:val="111827"/>
          <w:sz w:val="22"/>
          <w:szCs w:val="22"/>
        </w:rPr>
        <w:t xml:space="preserve">Expert Oracle uses a five-agent architecture. Each agent has a single, clearly defined responsibility. They work sequentially and collaboratively, passing information through a shared memory store.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716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val="false"/>
                <w:bCs w:val="false"/>
                <w:color w:val="FFFFFF"/>
                <w:sz w:val="20"/>
                <w:szCs w:val="20"/>
              </w:rPr>
              <w:t xml:space="preserve">Role and Responsibility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Interviewer Agent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Conducts structured conversational interviews. Follows a deliberate arc: overview, key decisions, mental models, failure patterns, heuristics, life lessons. Probes for specific examples and reasoning behind every claim.</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Extractor Agent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Runs silently after every expert answer. Decomposes each response into structured nuggets: type classification, IF/THEN/BECAUSE logic, past situations array, confidence level, and tone marker.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Expert Twin Agent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Answers future questions using RAG. Retrieves semantically relevant knowledge, loads the expert's tone profile, and generates opinionated, experience-grounded responses in the expert's voice.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Explainer Agent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Generates the explanation layer for every recommendation. Produces: Why I recommend this / What I have seen in similar situations / The risk if you do not follow this.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Counterfactual Agent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Reasons through alternative timelines. Answers what would have happened if this advice had not been followed. Produces cascading consequence analysis grounded in stored failure patterns.</w:t>
            </w:r>
          </w:p>
        </w:tc>
      </w:tr>
    </w:tbl>
    <w:p>
      <w:pPr>
        <w:spacing w:after="120" w:before="0"/>
      </w:pPr>
    </w:p>
    <w:p>
      <w:pPr>
        <w:pStyle w:val="Heading2"/>
        <w:spacing w:after="120" w:before="260"/>
      </w:pPr>
      <w:r>
        <w:rPr>
          <w:rFonts w:ascii="Arial" w:cs="Arial" w:eastAsia="Arial" w:hAnsi="Arial"/>
          <w:b/>
          <w:bCs/>
          <w:color w:val="0D1117"/>
          <w:sz w:val="28"/>
          <w:szCs w:val="28"/>
        </w:rPr>
        <w:t xml:space="preserve">4.2 Memory Architecture</w:t>
      </w:r>
    </w:p>
    <w:p>
      <w:pPr>
        <w:spacing w:after="140" w:before="60"/>
      </w:pPr>
      <w:r>
        <w:rPr>
          <w:rFonts w:ascii="Arial" w:cs="Arial" w:eastAsia="Arial" w:hAnsi="Arial"/>
          <w:color w:val="111827"/>
          <w:sz w:val="22"/>
          <w:szCs w:val="22"/>
        </w:rPr>
        <w:t xml:space="preserve">The memory system uses ChromaDB with two persistent collections per expert. The knowledge collection stores structured nuggets with vector embeddings, enabling semantic similarity search at query time. The tone collection stores the expert's voice profile, built by analysing the full interview transcript.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Memory Field</w:t>
            </w:r>
          </w:p>
        </w:tc>
        <w:tc>
          <w:tcPr>
            <w:tcW w:type="dxa" w:w="716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val="false"/>
                <w:bCs w:val="false"/>
                <w:color w:val="FFFFFF"/>
                <w:sz w:val="20"/>
                <w:szCs w:val="20"/>
              </w:rPr>
              <w:t xml:space="preserve">Description and Purpose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content</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knowledge statement — self-contained, domain-specific, preserving the expert's vocabulary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type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Classification: decision_rule / mental_model / heuristic / lesson_learned / process / warning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decision_logic</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[trigger] THEN [action] BECAUSE [reasoning] — the core reasoning preservation format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past_situations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JSON array of specific real situations the expert referenced as evidence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confidence_level</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 / medium / low — how emphatic the expert was when stating this knowledge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source_question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interview question that elicited this answer, for context</w:t>
            </w:r>
          </w:p>
        </w:tc>
      </w:tr>
    </w:tbl>
    <w:p>
      <w:pPr>
        <w:spacing w:after="120" w:before="0"/>
      </w:pPr>
    </w:p>
    <w:p>
      <w:pPr>
        <w:pStyle w:val="Heading2"/>
        <w:spacing w:after="120" w:before="260"/>
      </w:pPr>
      <w:r>
        <w:rPr>
          <w:rFonts w:ascii="Arial" w:cs="Arial" w:eastAsia="Arial" w:hAnsi="Arial"/>
          <w:b/>
          <w:bCs/>
          <w:color w:val="0D1117"/>
          <w:sz w:val="28"/>
          <w:szCs w:val="28"/>
        </w:rPr>
        <w:t xml:space="preserve">4.3 RAG Pipeline</w:t>
      </w:r>
    </w:p>
    <w:p>
      <w:pPr>
        <w:spacing w:after="140" w:before="60"/>
      </w:pPr>
      <w:r>
        <w:rPr>
          <w:rFonts w:ascii="Arial" w:cs="Arial" w:eastAsia="Arial" w:hAnsi="Arial"/>
          <w:color w:val="111827"/>
          <w:sz w:val="22"/>
          <w:szCs w:val="22"/>
        </w:rPr>
        <w:t xml:space="preserve">When the Expert Twin receives a question, it executes a four-step Retrieval-Augmented Generation pipeline:</w:t>
      </w:r>
    </w:p>
    <w:p>
      <w:pPr>
        <w:pStyle w:val="ListParagraph"/>
        <w:numPr>
          <w:ilvl w:val="0"/>
          <w:numId w:val="3"/>
        </w:numPr>
        <w:spacing w:after="80" w:before="40"/>
      </w:pPr>
      <w:r>
        <w:rPr>
          <w:rFonts w:ascii="Arial" w:cs="Arial" w:eastAsia="Arial" w:hAnsi="Arial"/>
          <w:color w:val="111827"/>
          <w:sz w:val="22"/>
          <w:szCs w:val="22"/>
        </w:rPr>
        <w:t xml:space="preserve">Query encoding — the question is converted to a vector embedding using the all-MiniLM-L6-v2 model</w:t>
      </w:r>
    </w:p>
    <w:p>
      <w:pPr>
        <w:pStyle w:val="ListParagraph"/>
        <w:numPr>
          <w:ilvl w:val="0"/>
          <w:numId w:val="3"/>
        </w:numPr>
        <w:spacing w:after="80" w:before="40"/>
      </w:pPr>
      <w:r>
        <w:rPr>
          <w:rFonts w:ascii="Arial" w:cs="Arial" w:eastAsia="Arial" w:hAnsi="Arial"/>
          <w:color w:val="111827"/>
          <w:sz w:val="22"/>
          <w:szCs w:val="22"/>
        </w:rPr>
        <w:t xml:space="preserve">Semantic retrieval — ChromaDB returns the 6 most semantically similar knowledge nuggets using cosine similarity</w:t>
      </w:r>
    </w:p>
    <w:p>
      <w:pPr>
        <w:pStyle w:val="ListParagraph"/>
        <w:numPr>
          <w:ilvl w:val="0"/>
          <w:numId w:val="3"/>
        </w:numPr>
        <w:spacing w:after="80" w:before="40"/>
      </w:pPr>
      <w:r>
        <w:rPr>
          <w:rFonts w:ascii="Arial" w:cs="Arial" w:eastAsia="Arial" w:hAnsi="Arial"/>
          <w:color w:val="111827"/>
          <w:sz w:val="22"/>
          <w:szCs w:val="22"/>
        </w:rPr>
        <w:t xml:space="preserve">Persona construction — the tone profile is loaded and injected into the system prompt alongside retrieved knowledge</w:t>
      </w:r>
    </w:p>
    <w:p>
      <w:pPr>
        <w:pStyle w:val="ListParagraph"/>
        <w:numPr>
          <w:ilvl w:val="0"/>
          <w:numId w:val="3"/>
        </w:numPr>
        <w:spacing w:after="80" w:before="40"/>
      </w:pPr>
      <w:r>
        <w:rPr>
          <w:rFonts w:ascii="Arial" w:cs="Arial" w:eastAsia="Arial" w:hAnsi="Arial"/>
          <w:color w:val="111827"/>
          <w:sz w:val="22"/>
          <w:szCs w:val="22"/>
        </w:rPr>
        <w:t xml:space="preserve">Grounded generation — the LLM generates an opinionated, first-person answer citing retrieved evidence</w:t>
      </w:r>
    </w:p>
    <w:p>
      <w:r>
        <w:br w:type="page"/>
      </w:r>
    </w:p>
    <w:p>
      <w:pPr>
        <w:pStyle w:val="Heading1"/>
        <w:spacing w:after="160" w:before="320"/>
      </w:pPr>
      <w:r>
        <w:rPr>
          <w:rFonts w:ascii="Arial" w:cs="Arial" w:eastAsia="Arial" w:hAnsi="Arial"/>
          <w:b/>
          <w:bCs/>
          <w:color w:val="0D1117"/>
          <w:sz w:val="36"/>
          <w:szCs w:val="36"/>
        </w:rPr>
        <w:t xml:space="preserve">5. Technical Stack and Tools</w:t>
      </w:r>
    </w:p>
    <w:p>
      <w:pPr>
        <w:spacing w:after="140" w:before="60"/>
      </w:pPr>
      <w:r>
        <w:rPr>
          <w:rFonts w:ascii="Arial" w:cs="Arial" w:eastAsia="Arial" w:hAnsi="Arial"/>
          <w:color w:val="111827"/>
          <w:sz w:val="22"/>
          <w:szCs w:val="22"/>
        </w:rPr>
        <w:t xml:space="preserve">All tools used in this project are entirely free. No paid API, subscription, or service is required to build or run Expert Oracle.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Tool / Library</w:t>
            </w:r>
          </w:p>
        </w:tc>
        <w:tc>
          <w:tcPr>
            <w:tcW w:type="dxa" w:w="36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Purpose in System</w:t>
            </w:r>
          </w:p>
        </w:tc>
        <w:tc>
          <w:tcPr>
            <w:tcW w:type="dxa" w:w="276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Groq API</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LLM inference engine powering all five agents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Free tier — 14,400 tokens/min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llama-3.3-70b-versatile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Primary model for Interviewer, Twin, Counterfactual agents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Included in Groq free tier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llama-3.1-8b-instant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Fast model for Extractor and Explainer (background tasks)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Included in Groq free tier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LangChain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Agent orchestration framework</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Open source — free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ChromaDB</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Local vector database for persistent episodic memory</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Open source — free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sentence-transformers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Embedding model (all-MiniLM-L6-v2) runs 100% locally</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Open source — free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Streamlit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Interactive web application framework</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Open source — free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python-dotenv</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Secure API key management via .env file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Open source — free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Python 3.11</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Core programming language</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Free</w:t>
            </w:r>
          </w:p>
        </w:tc>
      </w:tr>
    </w:tbl>
    <w:p>
      <w:pPr>
        <w:spacing w:after="120" w:before="0"/>
      </w:pPr>
    </w:p>
    <w:p>
      <w:r>
        <w:br w:type="page"/>
      </w:r>
    </w:p>
    <w:p>
      <w:pPr>
        <w:pStyle w:val="Heading1"/>
        <w:spacing w:after="160" w:before="320"/>
      </w:pPr>
      <w:r>
        <w:rPr>
          <w:rFonts w:ascii="Arial" w:cs="Arial" w:eastAsia="Arial" w:hAnsi="Arial"/>
          <w:b/>
          <w:bCs/>
          <w:color w:val="0D1117"/>
          <w:sz w:val="36"/>
          <w:szCs w:val="36"/>
        </w:rPr>
        <w:t xml:space="preserve">6. Key Features and Capabilities</w:t>
      </w:r>
    </w:p>
    <w:p>
      <w:pPr>
        <w:pStyle w:val="Heading2"/>
        <w:spacing w:after="120" w:before="260"/>
      </w:pPr>
      <w:r>
        <w:rPr>
          <w:rFonts w:ascii="Arial" w:cs="Arial" w:eastAsia="Arial" w:hAnsi="Arial"/>
          <w:b/>
          <w:bCs/>
          <w:color w:val="0D1117"/>
          <w:sz w:val="28"/>
          <w:szCs w:val="28"/>
        </w:rPr>
        <w:t xml:space="preserve">6.1 Structured Knowledge Extraction — IF/THEN/BECAUSE</w:t>
      </w:r>
    </w:p>
    <w:p>
      <w:pPr>
        <w:spacing w:after="140" w:before="60"/>
      </w:pPr>
      <w:r>
        <w:rPr>
          <w:rFonts w:ascii="Arial" w:cs="Arial" w:eastAsia="Arial" w:hAnsi="Arial"/>
          <w:color w:val="111827"/>
          <w:sz w:val="22"/>
          <w:szCs w:val="22"/>
        </w:rPr>
        <w:t xml:space="preserve">Unlike generic note-taking or document storage, Expert Oracle extracts knowledge in a structured, machine-queryable format. The IF/THEN/BECAUSE schema forces the extraction agent to capture not just the decision, but the situational trigger that activates it and the reasoning chain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9FAFB" w:val="clear"/>
            <w:tcMar>
              <w:top w:type="dxa" w:w="100"/>
              <w:left w:type="dxa" w:w="200"/>
              <w:bottom w:type="dxa" w:w="100"/>
              <w:right w:type="dxa" w:w="200"/>
            </w:tcMar>
          </w:tcPr>
          <w:p>
            <w:r>
              <w:rPr>
                <w:rFonts w:ascii="Arial" w:cs="Arial" w:eastAsia="Arial" w:hAnsi="Arial"/>
                <w:b/>
                <w:bCs/>
                <w:color w:val="111827"/>
                <w:sz w:val="22"/>
                <w:szCs w:val="22"/>
              </w:rPr>
              <w:t xml:space="preserve">Example IF/THEN/BECAUSE extraction</w:t>
            </w:r>
          </w:p>
          <w:p>
            <w:r>
              <w:rPr>
                <w:rFonts w:ascii="Arial" w:cs="Arial" w:eastAsia="Arial" w:hAnsi="Arial"/>
                <w:color w:val="6B7280"/>
                <w:sz w:val="21"/>
                <w:szCs w:val="21"/>
              </w:rPr>
              <w:t xml:space="preserve">IF presenting pricing strategy to an executive board THEN always prepare three-scenario sensitivity analysis BECAUSE boards anchored to a single number make worse decisions when reality deviates — three scenarios shift the conversation from questioning the number to identifying which scenario they are in, which is a fundamentally more productive framing.</w:t>
            </w:r>
          </w:p>
        </w:tc>
      </w:tr>
    </w:tbl>
    <w:p>
      <w:pPr>
        <w:spacing w:after="120" w:before="0"/>
      </w:pPr>
    </w:p>
    <w:p>
      <w:pPr>
        <w:pStyle w:val="Heading2"/>
        <w:spacing w:after="120" w:before="260"/>
      </w:pPr>
      <w:r>
        <w:rPr>
          <w:rFonts w:ascii="Arial" w:cs="Arial" w:eastAsia="Arial" w:hAnsi="Arial"/>
          <w:b/>
          <w:bCs/>
          <w:color w:val="0D1117"/>
          <w:sz w:val="28"/>
          <w:szCs w:val="28"/>
        </w:rPr>
        <w:t xml:space="preserve">6.2 Tone and Voice Profile Replication</w:t>
      </w:r>
    </w:p>
    <w:p>
      <w:pPr>
        <w:spacing w:after="140" w:before="60"/>
      </w:pPr>
      <w:r>
        <w:rPr>
          <w:rFonts w:ascii="Arial" w:cs="Arial" w:eastAsia="Arial" w:hAnsi="Arial"/>
          <w:color w:val="111827"/>
          <w:sz w:val="22"/>
          <w:szCs w:val="22"/>
        </w:rPr>
        <w:t xml:space="preserve">After the interview is complete, the Extractor Agent analyses the full transcript and builds a four-component voice profile: communication style description, tone markers array, vocabulary style classification, and signature phrases. This profile is injected into every Expert Twin response, ensuring the twin sounds like the specific person — not a generic AI assistant.</w:t>
      </w:r>
    </w:p>
    <w:p>
      <w:pPr>
        <w:pStyle w:val="Heading2"/>
        <w:spacing w:after="120" w:before="260"/>
      </w:pPr>
      <w:r>
        <w:rPr>
          <w:rFonts w:ascii="Arial" w:cs="Arial" w:eastAsia="Arial" w:hAnsi="Arial"/>
          <w:b/>
          <w:bCs/>
          <w:color w:val="0D1117"/>
          <w:sz w:val="28"/>
          <w:szCs w:val="28"/>
        </w:rPr>
        <w:t xml:space="preserve">6.3 Explanation Layer — Decision Intelligence</w:t>
      </w:r>
    </w:p>
    <w:p>
      <w:pPr>
        <w:spacing w:after="140" w:before="60"/>
      </w:pPr>
      <w:r>
        <w:rPr>
          <w:rFonts w:ascii="Arial" w:cs="Arial" w:eastAsia="Arial" w:hAnsi="Arial"/>
          <w:color w:val="111827"/>
          <w:sz w:val="22"/>
          <w:szCs w:val="22"/>
        </w:rPr>
        <w:t xml:space="preserve">Every recommendation from the Expert Twin is automatically accompanied by a structured explanation block with three sections: Why I recommend this, What I have seen in similar situations, and The risk if you do not follow this. This transforms answers from instructions into arguments, elevating the system from a chatbot to a decision intelligence tool.</w:t>
      </w:r>
    </w:p>
    <w:p>
      <w:pPr>
        <w:pStyle w:val="Heading2"/>
        <w:spacing w:after="120" w:before="260"/>
      </w:pPr>
      <w:r>
        <w:rPr>
          <w:rFonts w:ascii="Arial" w:cs="Arial" w:eastAsia="Arial" w:hAnsi="Arial"/>
          <w:b/>
          <w:bCs/>
          <w:color w:val="0D1117"/>
          <w:sz w:val="28"/>
          <w:szCs w:val="28"/>
        </w:rPr>
        <w:t xml:space="preserve">6.4 Counterfactual Reasoning Engine</w:t>
      </w:r>
    </w:p>
    <w:p>
      <w:pPr>
        <w:spacing w:after="140" w:before="60"/>
      </w:pPr>
      <w:r>
        <w:rPr>
          <w:rFonts w:ascii="Arial" w:cs="Arial" w:eastAsia="Arial" w:hAnsi="Arial"/>
          <w:color w:val="111827"/>
          <w:sz w:val="22"/>
          <w:szCs w:val="22"/>
        </w:rPr>
        <w:t xml:space="preserve">After any recommendation, the user can trigger a counterfactual analysis: what would have happened if the advice had not been followed? The agent reasons through immediate consequences, cascade effects, specific historical examples from stored memory, and the early warning signal that would have been missed. This feature has no equivalent in any existing knowledge management product.</w:t>
      </w:r>
    </w:p>
    <w:p>
      <w:pPr>
        <w:pStyle w:val="Heading2"/>
        <w:spacing w:after="120" w:before="260"/>
      </w:pPr>
      <w:r>
        <w:rPr>
          <w:rFonts w:ascii="Arial" w:cs="Arial" w:eastAsia="Arial" w:hAnsi="Arial"/>
          <w:b/>
          <w:bCs/>
          <w:color w:val="0D1117"/>
          <w:sz w:val="28"/>
          <w:szCs w:val="28"/>
        </w:rPr>
        <w:t xml:space="preserve">6.5 Episodic Memory with Semantic Retrieval</w:t>
      </w:r>
    </w:p>
    <w:p>
      <w:pPr>
        <w:spacing w:after="140" w:before="60"/>
      </w:pPr>
      <w:r>
        <w:rPr>
          <w:rFonts w:ascii="Arial" w:cs="Arial" w:eastAsia="Arial" w:hAnsi="Arial"/>
          <w:color w:val="111827"/>
          <w:sz w:val="22"/>
          <w:szCs w:val="22"/>
        </w:rPr>
        <w:t xml:space="preserve">Knowledge is indexed as vector embeddings, meaning the system retrieves semantically related knowledge even when the query uses completely different words. A question about cash flow problems retrieves knowledge about margin leakage because the concepts are semantically proximate in vector space.</w:t>
      </w:r>
    </w:p>
    <w:p>
      <w:r>
        <w:br w:type="page"/>
      </w:r>
    </w:p>
    <w:p>
      <w:pPr>
        <w:pStyle w:val="Heading1"/>
        <w:spacing w:after="160" w:before="320"/>
      </w:pPr>
      <w:r>
        <w:rPr>
          <w:rFonts w:ascii="Arial" w:cs="Arial" w:eastAsia="Arial" w:hAnsi="Arial"/>
          <w:b/>
          <w:bCs/>
          <w:color w:val="0D1117"/>
          <w:sz w:val="36"/>
          <w:szCs w:val="36"/>
        </w:rPr>
        <w:t xml:space="preserve">7. Uniqueness and Innovation</w:t>
      </w:r>
    </w:p>
    <w:p>
      <w:pPr>
        <w:pStyle w:val="Heading2"/>
        <w:spacing w:after="120" w:before="260"/>
      </w:pPr>
      <w:r>
        <w:rPr>
          <w:rFonts w:ascii="Arial" w:cs="Arial" w:eastAsia="Arial" w:hAnsi="Arial"/>
          <w:b/>
          <w:bCs/>
          <w:color w:val="0D1117"/>
          <w:sz w:val="28"/>
          <w:szCs w:val="28"/>
        </w:rPr>
        <w:t xml:space="preserve">7.1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2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Expert Oracle</w:t>
            </w:r>
          </w:p>
        </w:tc>
        <w:tc>
          <w:tcPr>
            <w:tcW w:type="dxa" w:w="316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All Existing Systems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What is stored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Decision reasoning (IF/THEN/BECAUSE)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Documents, facts, procedures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Voice replication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Full tone profile matching</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None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Query interface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Conversational Expert Twin</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Search or browse only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Explanation layer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Every answer includes structured reasoning</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Not available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Counterfactual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Reasons through alternative timelines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Does not exist anywhere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Memory type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Episodic and semantic vector retrieval</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Keyword search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Entirely free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Enterprise: $50K+ per year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Setup complexity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Single Python app, 5-minute setup</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Complex enterprise deployment</w:t>
            </w:r>
          </w:p>
        </w:tc>
      </w:tr>
    </w:tbl>
    <w:p>
      <w:pPr>
        <w:spacing w:after="120" w:before="0"/>
      </w:pPr>
    </w:p>
    <w:p>
      <w:pPr>
        <w:pStyle w:val="Heading2"/>
        <w:spacing w:after="120" w:before="260"/>
      </w:pPr>
      <w:r>
        <w:rPr>
          <w:rFonts w:ascii="Arial" w:cs="Arial" w:eastAsia="Arial" w:hAnsi="Arial"/>
          <w:b/>
          <w:bCs/>
          <w:color w:val="0D1117"/>
          <w:sz w:val="28"/>
          <w:szCs w:val="28"/>
        </w:rPr>
        <w:t xml:space="preserve">7.2 What Makes This Genuinely Novel</w:t>
      </w:r>
    </w:p>
    <w:p>
      <w:pPr>
        <w:pStyle w:val="ListParagraph"/>
        <w:numPr>
          <w:ilvl w:val="0"/>
          <w:numId w:val="2"/>
        </w:numPr>
        <w:spacing w:after="80" w:before="40"/>
      </w:pPr>
      <w:r>
        <w:rPr>
          <w:rFonts w:ascii="Arial" w:cs="Arial" w:eastAsia="Arial" w:hAnsi="Arial"/>
          <w:color w:val="111827"/>
          <w:sz w:val="22"/>
          <w:szCs w:val="22"/>
        </w:rPr>
        <w:t xml:space="preserve">No existing product captures tacit reasoning in IF/THEN/BECAUSE format through conversational AI interview</w:t>
      </w:r>
    </w:p>
    <w:p>
      <w:pPr>
        <w:pStyle w:val="ListParagraph"/>
        <w:numPr>
          <w:ilvl w:val="0"/>
          <w:numId w:val="2"/>
        </w:numPr>
        <w:spacing w:after="80" w:before="40"/>
      </w:pPr>
      <w:r>
        <w:rPr>
          <w:rFonts w:ascii="Arial" w:cs="Arial" w:eastAsia="Arial" w:hAnsi="Arial"/>
          <w:color w:val="111827"/>
          <w:sz w:val="22"/>
          <w:szCs w:val="22"/>
        </w:rPr>
        <w:t xml:space="preserve">The tone profile system — building a voice model from an interview transcript — has no published equivalent at this scale and cost</w:t>
      </w:r>
    </w:p>
    <w:p>
      <w:pPr>
        <w:pStyle w:val="ListParagraph"/>
        <w:numPr>
          <w:ilvl w:val="0"/>
          <w:numId w:val="2"/>
        </w:numPr>
        <w:spacing w:after="80" w:before="40"/>
      </w:pPr>
      <w:r>
        <w:rPr>
          <w:rFonts w:ascii="Arial" w:cs="Arial" w:eastAsia="Arial" w:hAnsi="Arial"/>
          <w:color w:val="111827"/>
          <w:sz w:val="22"/>
          <w:szCs w:val="22"/>
        </w:rPr>
        <w:t xml:space="preserve">The counterfactual engine applied to knowledge management is an entirely new concept in this space</w:t>
      </w:r>
    </w:p>
    <w:p>
      <w:pPr>
        <w:pStyle w:val="ListParagraph"/>
        <w:numPr>
          <w:ilvl w:val="0"/>
          <w:numId w:val="2"/>
        </w:numPr>
        <w:spacing w:after="80" w:before="40"/>
      </w:pPr>
      <w:r>
        <w:rPr>
          <w:rFonts w:ascii="Arial" w:cs="Arial" w:eastAsia="Arial" w:hAnsi="Arial"/>
          <w:color w:val="111827"/>
          <w:sz w:val="22"/>
          <w:szCs w:val="22"/>
        </w:rPr>
        <w:t xml:space="preserve">The combination of RAG, persona injection, explanation layer, and counterfactual in a single free system is unprecedented</w:t>
      </w:r>
    </w:p>
    <w:p>
      <w:pPr>
        <w:pStyle w:val="ListParagraph"/>
        <w:numPr>
          <w:ilvl w:val="0"/>
          <w:numId w:val="2"/>
        </w:numPr>
        <w:spacing w:after="80" w:before="40"/>
      </w:pPr>
      <w:r>
        <w:rPr>
          <w:rFonts w:ascii="Arial" w:cs="Arial" w:eastAsia="Arial" w:hAnsi="Arial"/>
          <w:color w:val="111827"/>
          <w:sz w:val="22"/>
          <w:szCs w:val="22"/>
        </w:rPr>
        <w:t xml:space="preserve">The concept of a living expert whose reasoning can be queried after retirement reframes what knowledge management means</w:t>
      </w:r>
    </w:p>
    <w:p>
      <w:r>
        <w:br w:type="page"/>
      </w:r>
    </w:p>
    <w:p>
      <w:pPr>
        <w:pStyle w:val="Heading1"/>
        <w:spacing w:after="160" w:before="320"/>
      </w:pPr>
      <w:r>
        <w:rPr>
          <w:rFonts w:ascii="Arial" w:cs="Arial" w:eastAsia="Arial" w:hAnsi="Arial"/>
          <w:b/>
          <w:bCs/>
          <w:color w:val="0D1117"/>
          <w:sz w:val="36"/>
          <w:szCs w:val="36"/>
        </w:rPr>
        <w:t xml:space="preserve">8. Advantages, Disadvantages, and Mitigations</w:t>
      </w:r>
    </w:p>
    <w:p>
      <w:pPr>
        <w:pStyle w:val="Heading2"/>
        <w:spacing w:after="120" w:before="260"/>
      </w:pPr>
      <w:r>
        <w:rPr>
          <w:rFonts w:ascii="Arial" w:cs="Arial" w:eastAsia="Arial" w:hAnsi="Arial"/>
          <w:b/>
          <w:bCs/>
          <w:color w:val="0D1117"/>
          <w:sz w:val="28"/>
          <w:szCs w:val="28"/>
        </w:rPr>
        <w:t xml:space="preserve">8.1 Advantages</w:t>
      </w:r>
    </w:p>
    <w:p>
      <w:pPr>
        <w:pStyle w:val="ListParagraph"/>
        <w:numPr>
          <w:ilvl w:val="0"/>
          <w:numId w:val="2"/>
        </w:numPr>
        <w:spacing w:after="80" w:before="40"/>
      </w:pPr>
      <w:r>
        <w:rPr>
          <w:rFonts w:ascii="Arial" w:cs="Arial" w:eastAsia="Arial" w:hAnsi="Arial"/>
          <w:color w:val="111827"/>
          <w:sz w:val="22"/>
          <w:szCs w:val="22"/>
        </w:rPr>
        <w:t xml:space="preserve">Preserves irreplaceable tacit knowledge that would otherwise be permanently lost when an expert leaves</w:t>
      </w:r>
    </w:p>
    <w:p>
      <w:pPr>
        <w:pStyle w:val="ListParagraph"/>
        <w:numPr>
          <w:ilvl w:val="0"/>
          <w:numId w:val="2"/>
        </w:numPr>
        <w:spacing w:after="80" w:before="40"/>
      </w:pPr>
      <w:r>
        <w:rPr>
          <w:rFonts w:ascii="Arial" w:cs="Arial" w:eastAsia="Arial" w:hAnsi="Arial"/>
          <w:color w:val="111827"/>
          <w:sz w:val="22"/>
          <w:szCs w:val="22"/>
        </w:rPr>
        <w:t xml:space="preserve">Entirely free to build and run — democratises access to enterprise-grade knowledge management</w:t>
      </w:r>
    </w:p>
    <w:p>
      <w:pPr>
        <w:pStyle w:val="ListParagraph"/>
        <w:numPr>
          <w:ilvl w:val="0"/>
          <w:numId w:val="2"/>
        </w:numPr>
        <w:spacing w:after="80" w:before="40"/>
      </w:pPr>
      <w:r>
        <w:rPr>
          <w:rFonts w:ascii="Arial" w:cs="Arial" w:eastAsia="Arial" w:hAnsi="Arial"/>
          <w:color w:val="111827"/>
          <w:sz w:val="22"/>
          <w:szCs w:val="22"/>
        </w:rPr>
        <w:t xml:space="preserve">Captures reasoning, not just facts — fundamentally superior to document-based systems</w:t>
      </w:r>
    </w:p>
    <w:p>
      <w:pPr>
        <w:pStyle w:val="ListParagraph"/>
        <w:numPr>
          <w:ilvl w:val="0"/>
          <w:numId w:val="2"/>
        </w:numPr>
        <w:spacing w:after="80" w:before="40"/>
      </w:pPr>
      <w:r>
        <w:rPr>
          <w:rFonts w:ascii="Arial" w:cs="Arial" w:eastAsia="Arial" w:hAnsi="Arial"/>
          <w:color w:val="111827"/>
          <w:sz w:val="22"/>
          <w:szCs w:val="22"/>
        </w:rPr>
        <w:t xml:space="preserve">Expert Twin maintains the specific person's voice, tone, and decision style through profile replication</w:t>
      </w:r>
    </w:p>
    <w:p>
      <w:pPr>
        <w:pStyle w:val="ListParagraph"/>
        <w:numPr>
          <w:ilvl w:val="0"/>
          <w:numId w:val="2"/>
        </w:numPr>
        <w:spacing w:after="80" w:before="40"/>
      </w:pPr>
      <w:r>
        <w:rPr>
          <w:rFonts w:ascii="Arial" w:cs="Arial" w:eastAsia="Arial" w:hAnsi="Arial"/>
          <w:color w:val="111827"/>
          <w:sz w:val="22"/>
          <w:szCs w:val="22"/>
        </w:rPr>
        <w:t xml:space="preserve">Counterfactual engine provides unique insight into the real cost of ignoring expert advice</w:t>
      </w:r>
    </w:p>
    <w:p>
      <w:pPr>
        <w:pStyle w:val="ListParagraph"/>
        <w:numPr>
          <w:ilvl w:val="0"/>
          <w:numId w:val="2"/>
        </w:numPr>
        <w:spacing w:after="80" w:before="40"/>
      </w:pPr>
      <w:r>
        <w:rPr>
          <w:rFonts w:ascii="Arial" w:cs="Arial" w:eastAsia="Arial" w:hAnsi="Arial"/>
          <w:color w:val="111827"/>
          <w:sz w:val="22"/>
          <w:szCs w:val="22"/>
        </w:rPr>
        <w:t xml:space="preserve">Runs locally — no data leaves the organisation, addressing privacy and confidentiality concerns</w:t>
      </w:r>
    </w:p>
    <w:p>
      <w:pPr>
        <w:pStyle w:val="ListParagraph"/>
        <w:numPr>
          <w:ilvl w:val="0"/>
          <w:numId w:val="2"/>
        </w:numPr>
        <w:spacing w:after="80" w:before="40"/>
      </w:pPr>
      <w:r>
        <w:rPr>
          <w:rFonts w:ascii="Arial" w:cs="Arial" w:eastAsia="Arial" w:hAnsi="Arial"/>
          <w:color w:val="111827"/>
          <w:sz w:val="22"/>
          <w:szCs w:val="22"/>
        </w:rPr>
        <w:t xml:space="preserve">Scales across any domain — finance, medicine, law, engineering, manufacturing, defence</w:t>
      </w:r>
    </w:p>
    <w:p>
      <w:pPr>
        <w:pStyle w:val="ListParagraph"/>
        <w:numPr>
          <w:ilvl w:val="0"/>
          <w:numId w:val="2"/>
        </w:numPr>
        <w:spacing w:after="80" w:before="40"/>
      </w:pPr>
      <w:r>
        <w:rPr>
          <w:rFonts w:ascii="Arial" w:cs="Arial" w:eastAsia="Arial" w:hAnsi="Arial"/>
          <w:color w:val="111827"/>
          <w:sz w:val="22"/>
          <w:szCs w:val="22"/>
        </w:rPr>
        <w:t xml:space="preserve">Knowledge persists indefinitely in ChromaDB with zero ongoing cost</w:t>
      </w:r>
    </w:p>
    <w:p>
      <w:pPr>
        <w:spacing w:after="120" w:before="0"/>
      </w:pPr>
    </w:p>
    <w:p>
      <w:pPr>
        <w:pStyle w:val="Heading2"/>
        <w:spacing w:after="120" w:before="260"/>
      </w:pPr>
      <w:r>
        <w:rPr>
          <w:rFonts w:ascii="Arial" w:cs="Arial" w:eastAsia="Arial" w:hAnsi="Arial"/>
          <w:b/>
          <w:bCs/>
          <w:color w:val="0D1117"/>
          <w:sz w:val="28"/>
          <w:szCs w:val="28"/>
        </w:rPr>
        <w:t xml:space="preserve">8.2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560"/>
            <w:tcBorders>
              <w:top w:val="single" w:color="E5E7EB" w:sz="1"/>
              <w:left w:val="single" w:color="E5E7EB" w:sz="1"/>
              <w:bottom w:val="single" w:color="E5E7EB" w:sz="1"/>
              <w:right w:val="single" w:color="E5E7EB" w:sz="1"/>
            </w:tcBorders>
            <w:shd w:fill="F59E0B" w:val="clear"/>
            <w:tcMar>
              <w:top w:type="dxa" w:w="80"/>
              <w:left w:type="dxa" w:w="120"/>
              <w:bottom w:type="dxa" w:w="80"/>
              <w:right w:type="dxa" w:w="120"/>
            </w:tcMar>
          </w:tcPr>
          <w:p>
            <w:r>
              <w:rPr>
                <w:rFonts w:ascii="Arial" w:cs="Arial" w:eastAsia="Arial" w:hAnsi="Arial"/>
                <w:b w:val="false"/>
                <w:bCs w:val="false"/>
                <w:color w:val="FFFFFF"/>
                <w:sz w:val="20"/>
                <w:szCs w:val="20"/>
              </w:rPr>
              <w:t xml:space="preserve">Mitigation Strategy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Requires a human to play the expert in demos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This is by design — in production a real domain expert is the interviewee. The demo uses a simulated scenario which is standard for prototypes.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LLM output quality depends on prompt engineering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Extensive prompt engineering and structured JSON output validation are implemented across all five agents.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Groq free tier has rate limits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system uses the faster llama-3.1-8b-instant model for background extraction to preserve token budget for the primary twin.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Counterfactual reasoning is probabilistic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agent is explicitly instructed to reason from stored evidence, not invent consequences, and to cite specific sources from memory.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Voice replication is approximate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tone profile captures communication patterns accurately but cannot replicate personality with 100% fidelity — acknowledged as a research limitation.</w:t>
            </w:r>
          </w:p>
        </w:tc>
      </w:tr>
    </w:tbl>
    <w:p>
      <w:r>
        <w:br w:type="page"/>
      </w:r>
    </w:p>
    <w:p>
      <w:pPr>
        <w:pStyle w:val="Heading1"/>
        <w:spacing w:after="160" w:before="320"/>
      </w:pPr>
      <w:r>
        <w:rPr>
          <w:rFonts w:ascii="Arial" w:cs="Arial" w:eastAsia="Arial" w:hAnsi="Arial"/>
          <w:b/>
          <w:bCs/>
          <w:color w:val="0D1117"/>
          <w:sz w:val="36"/>
          <w:szCs w:val="36"/>
        </w:rPr>
        <w:t xml:space="preserve">9. Why This is Critical in 2026 and the Future</w:t>
      </w:r>
    </w:p>
    <w:p>
      <w:pPr>
        <w:pStyle w:val="Heading2"/>
        <w:spacing w:after="120" w:before="260"/>
      </w:pPr>
      <w:r>
        <w:rPr>
          <w:rFonts w:ascii="Arial" w:cs="Arial" w:eastAsia="Arial" w:hAnsi="Arial"/>
          <w:b/>
          <w:bCs/>
          <w:color w:val="0D1117"/>
          <w:sz w:val="28"/>
          <w:szCs w:val="28"/>
        </w:rPr>
        <w:t xml:space="preserve">9.1 Current Urgency</w:t>
      </w:r>
    </w:p>
    <w:p>
      <w:pPr>
        <w:spacing w:after="120" w:before="60"/>
      </w:pPr>
      <w:r>
        <w:rPr>
          <w:rFonts w:ascii="Arial" w:cs="Arial" w:eastAsia="Arial" w:hAnsi="Arial"/>
          <w:b/>
          <w:bCs/>
          <w:color w:val="111827"/>
          <w:sz w:val="22"/>
          <w:szCs w:val="22"/>
        </w:rPr>
        <w:t xml:space="preserve">The Great Retirement Wave: </w:t>
      </w:r>
      <w:r>
        <w:rPr>
          <w:rFonts w:ascii="Arial" w:cs="Arial" w:eastAsia="Arial" w:hAnsi="Arial"/>
          <w:color w:val="111827"/>
          <w:sz w:val="22"/>
          <w:szCs w:val="22"/>
        </w:rPr>
        <w:t xml:space="preserve">Baby boomers are completing their retirements. The World Economic Forum estimates 10,000 retire daily in the US alone. Each carries decades of undocumented judgment that no system currently captures.</w:t>
      </w:r>
    </w:p>
    <w:p>
      <w:pPr>
        <w:spacing w:after="120" w:before="60"/>
      </w:pPr>
      <w:r>
        <w:rPr>
          <w:rFonts w:ascii="Arial" w:cs="Arial" w:eastAsia="Arial" w:hAnsi="Arial"/>
          <w:b/>
          <w:bCs/>
          <w:color w:val="111827"/>
          <w:sz w:val="22"/>
          <w:szCs w:val="22"/>
        </w:rPr>
        <w:t xml:space="preserve">The AI Literacy Gap: </w:t>
      </w:r>
      <w:r>
        <w:rPr>
          <w:rFonts w:ascii="Arial" w:cs="Arial" w:eastAsia="Arial" w:hAnsi="Arial"/>
          <w:color w:val="111827"/>
          <w:sz w:val="22"/>
          <w:szCs w:val="22"/>
        </w:rPr>
        <w:t xml:space="preserve">Organisations are rapidly adopting AI tools but have not solved the fundamental problem that AI systems do not have domain-specific institutional memory. They answer general questions but cannot answer 'what would our CFO have done here?'</w:t>
      </w:r>
    </w:p>
    <w:p>
      <w:pPr>
        <w:spacing w:after="120" w:before="60"/>
      </w:pPr>
      <w:r>
        <w:rPr>
          <w:rFonts w:ascii="Arial" w:cs="Arial" w:eastAsia="Arial" w:hAnsi="Arial"/>
          <w:b/>
          <w:bCs/>
          <w:color w:val="111827"/>
          <w:sz w:val="22"/>
          <w:szCs w:val="22"/>
        </w:rPr>
        <w:t xml:space="preserve">The Great Reshuffle: </w:t>
      </w:r>
      <w:r>
        <w:rPr>
          <w:rFonts w:ascii="Arial" w:cs="Arial" w:eastAsia="Arial" w:hAnsi="Arial"/>
          <w:color w:val="111827"/>
          <w:sz w:val="22"/>
          <w:szCs w:val="22"/>
        </w:rPr>
        <w:t xml:space="preserve">Post-pandemic workforce mobility means experts are leaving organisations faster than ever. Average tenure in knowledge-intensive roles dropped from 5.4 years to 3.2 years since 2020.</w:t>
      </w:r>
    </w:p>
    <w:p>
      <w:pPr>
        <w:spacing w:after="120" w:before="0"/>
      </w:pPr>
    </w:p>
    <w:p>
      <w:pPr>
        <w:pStyle w:val="Heading2"/>
        <w:spacing w:after="120" w:before="260"/>
      </w:pPr>
      <w:r>
        <w:rPr>
          <w:rFonts w:ascii="Arial" w:cs="Arial" w:eastAsia="Arial" w:hAnsi="Arial"/>
          <w:b/>
          <w:bCs/>
          <w:color w:val="0D1117"/>
          <w:sz w:val="28"/>
          <w:szCs w:val="28"/>
        </w:rPr>
        <w:t xml:space="preserve">9.2 Future Trajectory</w:t>
      </w:r>
    </w:p>
    <w:p>
      <w:pPr>
        <w:pStyle w:val="ListParagraph"/>
        <w:numPr>
          <w:ilvl w:val="0"/>
          <w:numId w:val="2"/>
        </w:numPr>
        <w:spacing w:after="80" w:before="40"/>
      </w:pPr>
      <w:r>
        <w:rPr>
          <w:rFonts w:ascii="Arial" w:cs="Arial" w:eastAsia="Arial" w:hAnsi="Arial"/>
          <w:color w:val="111827"/>
          <w:sz w:val="22"/>
          <w:szCs w:val="22"/>
        </w:rPr>
        <w:t xml:space="preserve">As LLMs improve, extraction and twin quality improve automatically with no code changes required</w:t>
      </w:r>
    </w:p>
    <w:p>
      <w:pPr>
        <w:pStyle w:val="ListParagraph"/>
        <w:numPr>
          <w:ilvl w:val="0"/>
          <w:numId w:val="2"/>
        </w:numPr>
        <w:spacing w:after="80" w:before="40"/>
      </w:pPr>
      <w:r>
        <w:rPr>
          <w:rFonts w:ascii="Arial" w:cs="Arial" w:eastAsia="Arial" w:hAnsi="Arial"/>
          <w:color w:val="111827"/>
          <w:sz w:val="22"/>
          <w:szCs w:val="22"/>
        </w:rPr>
        <w:t xml:space="preserve">Multi-expert systems — organisations building twins for their entire leadership team — are a direct extension of this architecture</w:t>
      </w:r>
    </w:p>
    <w:p>
      <w:pPr>
        <w:pStyle w:val="ListParagraph"/>
        <w:numPr>
          <w:ilvl w:val="0"/>
          <w:numId w:val="2"/>
        </w:numPr>
        <w:spacing w:after="80" w:before="40"/>
      </w:pPr>
      <w:r>
        <w:rPr>
          <w:rFonts w:ascii="Arial" w:cs="Arial" w:eastAsia="Arial" w:hAnsi="Arial"/>
          <w:color w:val="111827"/>
          <w:sz w:val="22"/>
          <w:szCs w:val="22"/>
        </w:rPr>
        <w:t xml:space="preserve">Integration with enterprise tools (Slack, Teams, email) would allow the Expert Twin to be consulted inline during work</w:t>
      </w:r>
    </w:p>
    <w:p>
      <w:pPr>
        <w:pStyle w:val="ListParagraph"/>
        <w:numPr>
          <w:ilvl w:val="0"/>
          <w:numId w:val="2"/>
        </w:numPr>
        <w:spacing w:after="80" w:before="40"/>
      </w:pPr>
      <w:r>
        <w:rPr>
          <w:rFonts w:ascii="Arial" w:cs="Arial" w:eastAsia="Arial" w:hAnsi="Arial"/>
          <w:color w:val="111827"/>
          <w:sz w:val="22"/>
          <w:szCs w:val="22"/>
        </w:rPr>
        <w:t xml:space="preserve">Cross-expert synthesis — finding where two experts' reasoning contradicts each other — is a high-value future feature</w:t>
      </w:r>
    </w:p>
    <w:p>
      <w:pPr>
        <w:pStyle w:val="ListParagraph"/>
        <w:numPr>
          <w:ilvl w:val="0"/>
          <w:numId w:val="2"/>
        </w:numPr>
        <w:spacing w:after="80" w:before="40"/>
      </w:pPr>
      <w:r>
        <w:rPr>
          <w:rFonts w:ascii="Arial" w:cs="Arial" w:eastAsia="Arial" w:hAnsi="Arial"/>
          <w:color w:val="111827"/>
          <w:sz w:val="22"/>
          <w:szCs w:val="22"/>
        </w:rPr>
        <w:t xml:space="preserve">Regulatory applications — preserving senior compliance officers' reasoning — represent a specific high-value deployment</w:t>
      </w:r>
    </w:p>
    <w:p>
      <w:r>
        <w:br w:type="page"/>
      </w:r>
    </w:p>
    <w:p>
      <w:pPr>
        <w:pStyle w:val="Heading1"/>
        <w:spacing w:after="160" w:before="320"/>
      </w:pPr>
      <w:r>
        <w:rPr>
          <w:rFonts w:ascii="Arial" w:cs="Arial" w:eastAsia="Arial" w:hAnsi="Arial"/>
          <w:b/>
          <w:bCs/>
          <w:color w:val="0D1117"/>
          <w:sz w:val="36"/>
          <w:szCs w:val="36"/>
        </w:rPr>
        <w:t xml:space="preserve">10. Use Cases and Real-World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Sector</w:t>
            </w:r>
          </w:p>
        </w:tc>
        <w:tc>
          <w:tcPr>
            <w:tcW w:type="dxa" w:w="36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Specific Use Case</w:t>
            </w:r>
          </w:p>
        </w:tc>
        <w:tc>
          <w:tcPr>
            <w:tcW w:type="dxa" w:w="336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Value Delivered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Corporate Finance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Preserve CFO and senior analyst judgment before retirement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Avoid costly decision errors during leadership transitions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Healthcare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Capture senior surgeon's diagnostic reasoning for junior doctors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Reduce diagnostic errors, preserve rare expertise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Legal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Archive senior partner's case strategy and negotiation patterns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Maintain client service quality through partner transitions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Engineering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Preserve chief engineer's design decision logic</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Prevent repeated mistakes, maintain safety standards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Military / Defence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Capture commanding officer's operational judgment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Maintain effectiveness through personnel rotation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Academia</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Archive senior researcher's experimental intuition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Accelerate junior researcher development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Manufacturing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Preserve plant manager's quality control heuristics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Maintain product quality through management changes</w:t>
            </w:r>
          </w:p>
        </w:tc>
      </w:tr>
    </w:tbl>
    <w:p>
      <w:r>
        <w:br w:type="page"/>
      </w:r>
    </w:p>
    <w:p>
      <w:pPr>
        <w:pStyle w:val="Heading1"/>
        <w:spacing w:after="160" w:before="320"/>
      </w:pPr>
      <w:r>
        <w:rPr>
          <w:rFonts w:ascii="Arial" w:cs="Arial" w:eastAsia="Arial" w:hAnsi="Arial"/>
          <w:b/>
          <w:bCs/>
          <w:color w:val="0D1117"/>
          <w:sz w:val="36"/>
          <w:szCs w:val="36"/>
        </w:rPr>
        <w:t xml:space="preserve">11. Why This Concept Was Chosen</w:t>
      </w:r>
    </w:p>
    <w:p>
      <w:pPr>
        <w:pStyle w:val="Heading2"/>
        <w:spacing w:after="120" w:before="260"/>
      </w:pPr>
      <w:r>
        <w:rPr>
          <w:rFonts w:ascii="Arial" w:cs="Arial" w:eastAsia="Arial" w:hAnsi="Arial"/>
          <w:b/>
          <w:bCs/>
          <w:color w:val="0D1117"/>
          <w:sz w:val="28"/>
          <w:szCs w:val="28"/>
        </w:rPr>
        <w:t xml:space="preserve">11.1 The Decision Rationale</w:t>
      </w:r>
    </w:p>
    <w:p>
      <w:pPr>
        <w:spacing w:after="140" w:before="60"/>
      </w:pPr>
      <w:r>
        <w:rPr>
          <w:rFonts w:ascii="Arial" w:cs="Arial" w:eastAsia="Arial" w:hAnsi="Arial"/>
          <w:color w:val="111827"/>
          <w:sz w:val="22"/>
          <w:szCs w:val="22"/>
        </w:rPr>
        <w:t xml:space="preserve">This concept was chosen because it sits at the intersection of three criteria: it solves a real problem that costs organisations measurable billions annually, it requires genuine technical sophistication across multiple AI disciplines simultaneously, and it has a demo story powerful enough to communicate its value in under 60 seconds.</w:t>
      </w:r>
    </w:p>
    <w:p>
      <w:pPr>
        <w:spacing w:after="140" w:before="60"/>
      </w:pPr>
      <w:r>
        <w:rPr>
          <w:rFonts w:ascii="Arial" w:cs="Arial" w:eastAsia="Arial" w:hAnsi="Arial"/>
          <w:color w:val="111827"/>
          <w:sz w:val="22"/>
          <w:szCs w:val="22"/>
        </w:rPr>
        <w:t xml:space="preserve">Most student AI projects build chatbots — systems that answer questions using generic AI knowledge. Expert Oracle inverts this: it captures specific human knowledge and uses AI to replay it intelligently. This inversion is philosophically significant and technically more demanding.</w:t>
      </w:r>
    </w:p>
    <w:p>
      <w:pPr>
        <w:pStyle w:val="Heading2"/>
        <w:spacing w:after="120" w:before="260"/>
      </w:pPr>
      <w:r>
        <w:rPr>
          <w:rFonts w:ascii="Arial" w:cs="Arial" w:eastAsia="Arial" w:hAnsi="Arial"/>
          <w:b/>
          <w:bCs/>
          <w:color w:val="0D1117"/>
          <w:sz w:val="28"/>
          <w:szCs w:val="28"/>
        </w:rPr>
        <w:t xml:space="preserve">11.2 Technical Ambition</w:t>
      </w:r>
    </w:p>
    <w:p>
      <w:pPr>
        <w:spacing w:after="140" w:before="60"/>
      </w:pPr>
      <w:r>
        <w:rPr>
          <w:rFonts w:ascii="Arial" w:cs="Arial" w:eastAsia="Arial" w:hAnsi="Arial"/>
          <w:color w:val="111827"/>
          <w:sz w:val="22"/>
          <w:szCs w:val="22"/>
        </w:rPr>
        <w:t xml:space="preserve">The project integrates five distinct AI capabilities rarely combined in student work: conversational agent design, structured information extraction with JSON output, vector database management, persona-based generation, and causal counterfactual reasoning. Each is a research area in its own right. Combining all five in a working system demonstrates genuine technical depth that exceeds assignment requirements.</w:t>
      </w:r>
    </w:p>
    <w:p>
      <w:pPr>
        <w:pStyle w:val="Heading2"/>
        <w:spacing w:after="120" w:before="260"/>
      </w:pPr>
      <w:r>
        <w:rPr>
          <w:rFonts w:ascii="Arial" w:cs="Arial" w:eastAsia="Arial" w:hAnsi="Arial"/>
          <w:b/>
          <w:bCs/>
          <w:color w:val="0D1117"/>
          <w:sz w:val="28"/>
          <w:szCs w:val="28"/>
        </w:rPr>
        <w:t xml:space="preserve">11.3 Startup Viability</w:t>
      </w:r>
    </w:p>
    <w:p>
      <w:pPr>
        <w:spacing w:after="140" w:before="60"/>
      </w:pPr>
      <w:r>
        <w:rPr>
          <w:rFonts w:ascii="Arial" w:cs="Arial" w:eastAsia="Arial" w:hAnsi="Arial"/>
          <w:color w:val="111827"/>
          <w:sz w:val="22"/>
          <w:szCs w:val="22"/>
        </w:rPr>
        <w:t xml:space="preserve">Expert Oracle is not just an academic project — it is a viable startup concept. The $4.1 trillion problem it addresses has no adequate low-cost solution. No product on the market does what Expert Oracle does at any price point, let alone for free. This makes it a credible pitch to investors and not just to academic evaluators.</w:t>
      </w:r>
    </w:p>
    <w:p>
      <w:r>
        <w:br w:type="page"/>
      </w:r>
    </w:p>
    <w:p>
      <w:pPr>
        <w:pStyle w:val="Heading1"/>
        <w:spacing w:after="160" w:before="320"/>
      </w:pPr>
      <w:r>
        <w:rPr>
          <w:rFonts w:ascii="Arial" w:cs="Arial" w:eastAsia="Arial" w:hAnsi="Arial"/>
          <w:b/>
          <w:bCs/>
          <w:color w:val="0D1117"/>
          <w:sz w:val="36"/>
          <w:szCs w:val="36"/>
        </w:rPr>
        <w:t xml:space="preserve">12. Assessment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450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What Expert Oracle Delivers</w:t>
            </w:r>
          </w:p>
        </w:tc>
        <w:tc>
          <w:tcPr>
            <w:tcW w:type="dxa" w:w="2460"/>
            <w:tcBorders>
              <w:top w:val="single" w:color="E5E7EB" w:sz="1"/>
              <w:left w:val="single" w:color="E5E7EB" w:sz="1"/>
              <w:bottom w:val="single" w:color="E5E7EB" w:sz="1"/>
              <w:right w:val="single" w:color="E5E7EB" w:sz="1"/>
            </w:tcBorders>
            <w:shd w:fill="0D1117" w:val="clear"/>
            <w:tcMar>
              <w:top w:type="dxa" w:w="80"/>
              <w:left w:type="dxa" w:w="120"/>
              <w:bottom w:type="dxa" w:w="80"/>
              <w:right w:type="dxa" w:w="120"/>
            </w:tcMar>
          </w:tcPr>
          <w:p>
            <w:r>
              <w:rPr>
                <w:rFonts w:ascii="Arial" w:cs="Arial" w:eastAsia="Arial" w:hAnsi="Arial"/>
                <w:b/>
                <w:bCs/>
                <w:color w:val="FFFFFF"/>
                <w:sz w:val="19"/>
                <w:szCs w:val="19"/>
              </w:rPr>
              <w:t xml:space="preserve">Expected Grade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Problem Definition and Motivation</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Precisely defined $4.1T problem with real-world scenario (Margaret Chen), supported by data, clear urgency and significance</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Distinction (70+)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Creativity and Usefulness</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Counterfactual engine and tone replication are genuinely novel at student level. Solves a problem every large organisation has</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Distinction (70+)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Technical Implementation</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Five-agent architecture, vector database, RAG pipeline, tone profiling, JSON extraction, counterfactual reasoning — all working and integrated</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Distinction (70+)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Video Clarity and Demonstration</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60-second YouTube Short: story, interview, extraction, twin, counterfactual in logical sequence with clear narration</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Distinction (70+)</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Presentation Quality</w:t>
            </w:r>
          </w:p>
        </w:tc>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Dark professional UI with custom typography, gold/teal design system, colour-coded knowledge cards</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19"/>
                <w:szCs w:val="19"/>
              </w:rPr>
              <w:t xml:space="preserve">Distinction (70+)</w:t>
            </w:r>
          </w:p>
        </w:tc>
      </w:tr>
    </w:tbl>
    <w:p>
      <w:r>
        <w:br w:type="page"/>
      </w:r>
    </w:p>
    <w:p>
      <w:pPr>
        <w:pStyle w:val="Heading1"/>
        <w:spacing w:after="160" w:before="320"/>
      </w:pPr>
      <w:r>
        <w:rPr>
          <w:rFonts w:ascii="Arial" w:cs="Arial" w:eastAsia="Arial" w:hAnsi="Arial"/>
          <w:b/>
          <w:bCs/>
          <w:color w:val="0D1117"/>
          <w:sz w:val="36"/>
          <w:szCs w:val="36"/>
        </w:rPr>
        <w:t xml:space="preserve">13. Conclusion</w:t>
      </w:r>
    </w:p>
    <w:p>
      <w:pPr>
        <w:spacing w:after="140" w:before="60"/>
      </w:pPr>
      <w:r>
        <w:rPr>
          <w:rFonts w:ascii="Arial" w:cs="Arial" w:eastAsia="Arial" w:hAnsi="Arial"/>
          <w:color w:val="111827"/>
          <w:sz w:val="22"/>
          <w:szCs w:val="22"/>
        </w:rPr>
        <w:t xml:space="preserve">Expert Oracle represents a genuinely novel contribution to knowledge management and AI agent design. It demonstrates that the combination of structured conversational AI, vector-based episodic memory, persona-based language generation, and counterfactual reasoning can solve one of the most expensive and persistent problems in organisational life.</w:t>
      </w:r>
    </w:p>
    <w:p>
      <w:pPr>
        <w:spacing w:after="140" w:before="60"/>
      </w:pPr>
      <w:r>
        <w:rPr>
          <w:rFonts w:ascii="Arial" w:cs="Arial" w:eastAsia="Arial" w:hAnsi="Arial"/>
          <w:color w:val="111827"/>
          <w:sz w:val="22"/>
          <w:szCs w:val="22"/>
        </w:rPr>
        <w:t xml:space="preserve">The system is not a demonstration of what AI can do in theory. It is a working prototype that captures real knowledge, stores it semantically, retrieves it intelligently, and presents it in the voice of the original expert. Every architectural decision was made in service of one goal: to ensure that the expert never truly retires.</w:t>
      </w:r>
    </w:p>
    <w:p>
      <w:pPr>
        <w:spacing w:after="140" w:before="60"/>
      </w:pPr>
      <w:r>
        <w:rPr>
          <w:rFonts w:ascii="Arial" w:cs="Arial" w:eastAsia="Arial" w:hAnsi="Arial"/>
          <w:color w:val="111827"/>
          <w:sz w:val="22"/>
          <w:szCs w:val="22"/>
        </w:rPr>
        <w:t xml:space="preserve">Built entirely with free tools, running locally with no ongoing cost, and deployable by any organisation, Expert Oracle is both academically rigorous and commercially viable.</w:t>
      </w:r>
    </w:p>
    <w:p>
      <w:pPr>
        <w:spacing w:after="120" w:before="0"/>
      </w:pPr>
    </w:p>
    <w:p>
      <w:pPr>
        <w:spacing w:after="80" w:before="100"/>
        <w:jc w:val="center"/>
      </w:pPr>
      <w:r>
        <w:rPr>
          <w:rFonts w:ascii="Arial" w:cs="Arial" w:eastAsia="Arial" w:hAnsi="Arial"/>
          <w:b/>
          <w:bCs/>
          <w:i/>
          <w:iCs/>
          <w:color w:val="F59E0B"/>
          <w:sz w:val="30"/>
          <w:szCs w:val="30"/>
        </w:rPr>
        <w:t xml:space="preserve">"The expert never truly retires."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6"/>
      </w:pBdr>
      <w:tabs>
        <w:tab w:val="right" w:pos="9026"/>
      </w:tabs>
    </w:pPr>
    <w:r>
      <w:rPr>
        <w:rFonts w:ascii="Arial" w:cs="Arial" w:eastAsia="Arial" w:hAnsi="Arial"/>
        <w:color w:val="6B7280"/>
        <w:sz w:val="16"/>
        <w:szCs w:val="16"/>
      </w:rPr>
      <w:t xml:space="preserve">BSc Applied Data Science | LB3114 | General Sir John Kotelawala Defence University</w:t>
    </w:r>
    <w:r>
      <w:rPr>
        <w:rFonts w:ascii="Arial" w:cs="Arial" w:eastAsia="Arial" w:hAnsi="Arial"/>
        <w:color w:val="6B7280"/>
        <w:sz w:val="16"/>
        <w:szCs w:val="16"/>
      </w:rPr>
      <w:t xml:space="preserve">	Page </w:t>
    </w:r>
    <w:r>
      <w:rPr>
        <w:rFonts w:ascii="Arial" w:cs="Arial" w:eastAsia="Arial" w:hAnsi="Arial"/>
        <w:color w:val="6B728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6"/>
      </w:pBdr>
      <w:tabs>
        <w:tab w:val="right" w:pos="9026"/>
      </w:tabs>
    </w:pPr>
    <w:r>
      <w:rPr>
        <w:rFonts w:ascii="Arial" w:cs="Arial" w:eastAsia="Arial" w:hAnsi="Arial"/>
        <w:color w:val="6B7280"/>
        <w:sz w:val="18"/>
        <w:szCs w:val="18"/>
      </w:rPr>
      <w:t xml:space="preserve">Expert Oracle — Knowledge Immortalization Agent</w:t>
    </w:r>
    <w:r>
      <w:rPr>
        <w:rFonts w:ascii="Arial" w:cs="Arial" w:eastAsia="Arial" w:hAnsi="Arial"/>
        <w:color w:val="6B7280"/>
        <w:sz w:val="18"/>
        <w:szCs w:val="18"/>
      </w:rPr>
      <w:t xml:space="preserve">	Detailed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11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D111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2026-04-10T06:42:05.800Z</dcterms:created>
  <dcterms:modified xsi:type="dcterms:W3CDTF">2026-04-10T06:42:05.801Z</dcterms:modified>
</cp:coreProperties>
</file>

<file path=docProps/custom.xml><?xml version="1.0" encoding="utf-8"?>
<Properties xmlns="http://schemas.openxmlformats.org/officeDocument/2006/custom-properties" xmlns:vt="http://schemas.openxmlformats.org/officeDocument/2006/docPropsVTypes"/>
</file>