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Times New Roman" w:cs="Times New Roman" w:eastAsia="Times New Roman" w:hAnsi="Times New Roman"/>
          <w:b/>
          <w:bCs/>
          <w:sz w:val="32"/>
          <w:szCs w:val="32"/>
        </w:rPr>
        <w:t xml:space="preserve">Expert Oracle: Knowledge Immortalization Agent</w:t>
      </w:r>
    </w:p>
    <w:p>
      <w:pPr>
        <w:spacing w:after="40" w:before="0"/>
        <w:jc w:val="center"/>
      </w:pPr>
      <w:r>
        <w:rPr>
          <w:rFonts w:ascii="Times New Roman" w:cs="Times New Roman" w:eastAsia="Times New Roman" w:hAnsi="Times New Roman"/>
          <w:sz w:val="21"/>
          <w:szCs w:val="21"/>
        </w:rPr>
        <w:t xml:space="preserve">Project Summary — Data Science Applications and AI [LB3114]</w:t>
      </w:r>
    </w:p>
    <w:p>
      <w:pPr>
        <w:spacing w:after="40" w:before="0"/>
        <w:jc w:val="center"/>
      </w:pPr>
      <w:r>
        <w:rPr>
          <w:rFonts w:ascii="Times New Roman" w:cs="Times New Roman" w:eastAsia="Times New Roman" w:hAnsi="Times New Roman"/>
          <w:sz w:val="20"/>
          <w:szCs w:val="20"/>
        </w:rPr>
        <w:t xml:space="preserve">Thesanya Lamahewa  |  BSc Applied Data Science Communication  |  Intake 41  |  3rd Year 1st Semester</w:t>
      </w:r>
    </w:p>
    <w:p>
      <w:pPr>
        <w:spacing w:after="120" w:before="0"/>
        <w:jc w:val="center"/>
      </w:pPr>
      <w:r>
        <w:rPr>
          <w:rFonts w:ascii="Times New Roman" w:cs="Times New Roman" w:eastAsia="Times New Roman" w:hAnsi="Times New Roman"/>
          <w:sz w:val="20"/>
          <w:szCs w:val="20"/>
        </w:rPr>
        <w:t xml:space="preserve">General Sir John Kotelawala Defence University  |  Deadline: 30th April 2026</w:t>
      </w:r>
    </w:p>
    <w:p>
      <w:pPr>
        <w:pBdr>
          <w:bottom w:val="single" w:color="000000" w:sz="6"/>
        </w:pBdr>
        <w:spacing w:after="120" w:before="0"/>
      </w:pPr>
    </w:p>
    <w:p>
      <w:pPr>
        <w:pStyle w:val="Heading1"/>
        <w:pBdr>
          <w:bottom w:val="single" w:color="000000" w:sz="3"/>
        </w:pBdr>
        <w:spacing w:after="80" w:before="160"/>
      </w:pPr>
      <w:r>
        <w:rPr>
          <w:rFonts w:ascii="Times New Roman" w:cs="Times New Roman" w:eastAsia="Times New Roman" w:hAnsi="Times New Roman"/>
          <w:b/>
          <w:bCs/>
          <w:color w:val="000000"/>
          <w:sz w:val="24"/>
          <w:szCs w:val="24"/>
        </w:rPr>
        <w:t xml:space="preserve">Project Overview</w:t>
      </w:r>
    </w:p>
    <w:p>
      <w:pPr>
        <w:spacing w:after="100" w:before="40"/>
      </w:pPr>
      <w:r>
        <w:rPr>
          <w:rFonts w:ascii="Times New Roman" w:cs="Times New Roman" w:eastAsia="Times New Roman" w:hAnsi="Times New Roman"/>
          <w:color w:val="000000"/>
          <w:sz w:val="21"/>
          <w:szCs w:val="21"/>
        </w:rPr>
        <w:t xml:space="preserve">Expert Oracle is an autonomous multi-agent AI system built to solve one of the most persistent and costly problems in any organisation: the permanent loss of expertise when senior professionals retire or leave. The system conducts structured AI-driven interviews with domain experts, extracts their decision logic into a structured knowledge base, and then allows anyone to consult an Expert Twin — a queryable version of that person's reasoning — long after they have gone.</w:t>
      </w:r>
    </w:p>
    <w:p>
      <w:pPr>
        <w:spacing w:after="100" w:before="40"/>
      </w:pPr>
      <w:r>
        <w:rPr>
          <w:rFonts w:ascii="Times New Roman" w:cs="Times New Roman" w:eastAsia="Times New Roman" w:hAnsi="Times New Roman"/>
          <w:color w:val="000000"/>
          <w:sz w:val="21"/>
          <w:szCs w:val="21"/>
        </w:rPr>
        <w:t xml:space="preserve">The real-world scenario driving this project: a senior financial analyst with 25 years of experience retires on Friday. On Monday, the board faces a pricing crisis — raw materials up 34%, a competitor cutting prices by 12%. The new team has data but not judgment. Expert Oracle answers the question: what would she have done, and why?</w:t>
      </w:r>
    </w:p>
    <w:p>
      <w:pPr>
        <w:spacing w:after="80" w:before="0"/>
      </w:pPr>
    </w:p>
    <w:p>
      <w:pPr>
        <w:pStyle w:val="Heading1"/>
        <w:pBdr>
          <w:bottom w:val="single" w:color="000000" w:sz="3"/>
        </w:pBdr>
        <w:spacing w:after="80" w:before="160"/>
      </w:pPr>
      <w:r>
        <w:rPr>
          <w:rFonts w:ascii="Times New Roman" w:cs="Times New Roman" w:eastAsia="Times New Roman" w:hAnsi="Times New Roman"/>
          <w:b/>
          <w:bCs/>
          <w:color w:val="000000"/>
          <w:sz w:val="24"/>
          <w:szCs w:val="24"/>
        </w:rPr>
        <w:t xml:space="preserve">The Problem</w:t>
      </w:r>
    </w:p>
    <w:p>
      <w:pPr>
        <w:spacing w:after="100" w:before="40"/>
      </w:pPr>
      <w:r>
        <w:rPr>
          <w:rFonts w:ascii="Times New Roman" w:cs="Times New Roman" w:eastAsia="Times New Roman" w:hAnsi="Times New Roman"/>
          <w:color w:val="000000"/>
          <w:sz w:val="21"/>
          <w:szCs w:val="21"/>
        </w:rPr>
        <w:t xml:space="preserve">Organisations lose an estimated $4.1 trillion annually in institutional knowledge (McKinsey Institute, 2023). Less than 13% of tacit expert knowledge is successfully captured through conventional handover processes. Rebuilding what a 20-year expert knows takes a replacement hire between three and seven years. Existing knowledge management tools — document repositories, wikis, video libraries — capture facts. None of them capture reasoning: the why behind every decision, the pattern recognition that only comes from experience, the judgment that cannot be taught from a manual.</w:t>
      </w:r>
    </w:p>
    <w:p>
      <w:pPr>
        <w:spacing w:after="80" w:before="0"/>
      </w:pPr>
    </w:p>
    <w:p>
      <w:pPr>
        <w:pStyle w:val="Heading1"/>
        <w:pBdr>
          <w:bottom w:val="single" w:color="000000" w:sz="3"/>
        </w:pBdr>
        <w:spacing w:after="80" w:before="160"/>
      </w:pPr>
      <w:r>
        <w:rPr>
          <w:rFonts w:ascii="Times New Roman" w:cs="Times New Roman" w:eastAsia="Times New Roman" w:hAnsi="Times New Roman"/>
          <w:b/>
          <w:bCs/>
          <w:color w:val="000000"/>
          <w:sz w:val="24"/>
          <w:szCs w:val="24"/>
        </w:rPr>
        <w:t xml:space="preserve">How the System Works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000000" w:sz="2"/>
              <w:right w:val="single" w:color="AAAAAA" w:sz="1"/>
            </w:tcBorders>
            <w:shd w:fill="EFEFEF" w:val="clear"/>
            <w:tcMar>
              <w:top w:type="dxa" w:w="60"/>
              <w:left w:type="dxa" w:w="100"/>
              <w:bottom w:type="dxa" w:w="60"/>
              <w:right w:type="dxa" w:w="100"/>
            </w:tcMar>
          </w:tcPr>
          <w:p>
            <w:r>
              <w:rPr>
                <w:rFonts w:ascii="Times New Roman" w:cs="Times New Roman" w:eastAsia="Times New Roman" w:hAnsi="Times New Roman"/>
                <w:b/>
                <w:bCs/>
                <w:sz w:val="19"/>
                <w:szCs w:val="19"/>
              </w:rPr>
              <w:t xml:space="preserve">Agent</w:t>
            </w:r>
          </w:p>
        </w:tc>
        <w:tc>
          <w:tcPr>
            <w:tcW w:type="dxa" w:w="7360"/>
            <w:tcBorders>
              <w:top w:val="single" w:color="AAAAAA" w:sz="1"/>
              <w:left w:val="single" w:color="AAAAAA" w:sz="1"/>
              <w:bottom w:val="single" w:color="000000" w:sz="2"/>
              <w:right w:val="single" w:color="AAAAAA" w:sz="1"/>
            </w:tcBorders>
            <w:shd w:fill="EFEFEF" w:val="clear"/>
            <w:tcMar>
              <w:top w:type="dxa" w:w="60"/>
              <w:left w:type="dxa" w:w="100"/>
              <w:bottom w:type="dxa" w:w="60"/>
              <w:right w:type="dxa" w:w="100"/>
            </w:tcMar>
          </w:tcPr>
          <w:p>
            <w:r>
              <w:rPr>
                <w:rFonts w:ascii="Times New Roman" w:cs="Times New Roman" w:eastAsia="Times New Roman" w:hAnsi="Times New Roman"/>
                <w:b/>
                <w:bCs/>
                <w:sz w:val="19"/>
                <w:szCs w:val="19"/>
              </w:rPr>
              <w:t xml:space="preserve">Function</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Times New Roman" w:cs="Times New Roman" w:eastAsia="Times New Roman" w:hAnsi="Times New Roman"/>
                <w:b/>
                <w:bCs/>
                <w:sz w:val="19"/>
                <w:szCs w:val="19"/>
              </w:rPr>
              <w:t xml:space="preserve">Interviewer Agent</w:t>
            </w:r>
          </w:p>
        </w:tc>
        <w:tc>
          <w:tcPr>
            <w:tcW w:type="dxa" w:w="73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19"/>
                <w:szCs w:val="19"/>
              </w:rPr>
              <w:t xml:space="preserve">Conducts a structured interview designed to extract reasoning, not just facts. Follows a deliberate arc: career overview, key decisions, mental models, failure patterns, rules of thumb.</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Times New Roman" w:cs="Times New Roman" w:eastAsia="Times New Roman" w:hAnsi="Times New Roman"/>
                <w:b/>
                <w:bCs/>
                <w:sz w:val="19"/>
                <w:szCs w:val="19"/>
              </w:rPr>
              <w:t xml:space="preserve">Extractor Agent</w:t>
            </w:r>
          </w:p>
        </w:tc>
        <w:tc>
          <w:tcPr>
            <w:tcW w:type="dxa" w:w="73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19"/>
                <w:szCs w:val="19"/>
              </w:rPr>
              <w:t xml:space="preserve">After every answer, silently decomposes the response into IF/THEN/BECAUSE decision logic, tagging each nugget by type, confidence level, and past situations cited.</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Times New Roman" w:cs="Times New Roman" w:eastAsia="Times New Roman" w:hAnsi="Times New Roman"/>
                <w:b/>
                <w:bCs/>
                <w:sz w:val="19"/>
                <w:szCs w:val="19"/>
              </w:rPr>
              <w:t xml:space="preserve">Expert Twin Agent</w:t>
            </w:r>
          </w:p>
        </w:tc>
        <w:tc>
          <w:tcPr>
            <w:tcW w:type="dxa" w:w="73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19"/>
                <w:szCs w:val="19"/>
              </w:rPr>
              <w:t xml:space="preserve">Answers future questions using the stored knowledge via RAG (Retrieval-Augmented Generation). Retrieves semantically relevant nuggets and responds in the expert's own voice.</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Times New Roman" w:cs="Times New Roman" w:eastAsia="Times New Roman" w:hAnsi="Times New Roman"/>
                <w:b/>
                <w:bCs/>
                <w:sz w:val="19"/>
                <w:szCs w:val="19"/>
              </w:rPr>
              <w:t xml:space="preserve">Explainer Agent</w:t>
            </w:r>
          </w:p>
        </w:tc>
        <w:tc>
          <w:tcPr>
            <w:tcW w:type="dxa" w:w="73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19"/>
                <w:szCs w:val="19"/>
              </w:rPr>
              <w:t xml:space="preserve">Accompanies every recommendation with a structured explanation: why I recommend this, what I have seen in similar situations, and the risk if this advice is not followed.</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Times New Roman" w:cs="Times New Roman" w:eastAsia="Times New Roman" w:hAnsi="Times New Roman"/>
                <w:b/>
                <w:bCs/>
                <w:sz w:val="19"/>
                <w:szCs w:val="19"/>
              </w:rPr>
              <w:t xml:space="preserve">Counterfactual Agent</w:t>
            </w:r>
          </w:p>
        </w:tc>
        <w:tc>
          <w:tcPr>
            <w:tcW w:type="dxa" w:w="73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19"/>
                <w:szCs w:val="19"/>
              </w:rPr>
              <w:t xml:space="preserve">On demand, reasons through the alternative timeline: what would have happened if this advice had not been followed? Uses stored failure patterns for evidence.</w:t>
            </w:r>
          </w:p>
        </w:tc>
      </w:tr>
    </w:tbl>
    <w:p>
      <w:pPr>
        <w:spacing w:after="80" w:before="0"/>
      </w:pPr>
    </w:p>
    <w:p>
      <w:pPr>
        <w:pStyle w:val="Heading1"/>
        <w:pBdr>
          <w:bottom w:val="single" w:color="000000" w:sz="3"/>
        </w:pBdr>
        <w:spacing w:after="80" w:before="160"/>
      </w:pPr>
      <w:r>
        <w:rPr>
          <w:rFonts w:ascii="Times New Roman" w:cs="Times New Roman" w:eastAsia="Times New Roman" w:hAnsi="Times New Roman"/>
          <w:b/>
          <w:bCs/>
          <w:color w:val="000000"/>
          <w:sz w:val="24"/>
          <w:szCs w:val="24"/>
        </w:rPr>
        <w:t xml:space="preserve">Key Technical Features</w:t>
      </w:r>
    </w:p>
    <w:p>
      <w:pPr>
        <w:spacing w:after="80" w:before="40"/>
      </w:pPr>
      <w:r>
        <w:rPr>
          <w:rFonts w:ascii="Times New Roman" w:cs="Times New Roman" w:eastAsia="Times New Roman" w:hAnsi="Times New Roman"/>
          <w:b/>
          <w:bCs/>
          <w:sz w:val="21"/>
          <w:szCs w:val="21"/>
        </w:rPr>
        <w:t xml:space="preserve">IF/THEN/BECAUSE extraction: </w:t>
      </w:r>
      <w:r>
        <w:rPr>
          <w:rFonts w:ascii="Times New Roman" w:cs="Times New Roman" w:eastAsia="Times New Roman" w:hAnsi="Times New Roman"/>
          <w:sz w:val="21"/>
          <w:szCs w:val="21"/>
        </w:rPr>
        <w:t xml:space="preserve">Every knowledge nugget is stored in structured decision logic format. The IF captures the trigger situation, the THEN the recommended action, and the BECAUSE the expert's reasoning — the most valuable and most commonly lost element.</w:t>
      </w:r>
    </w:p>
    <w:p>
      <w:pPr>
        <w:spacing w:after="80" w:before="40"/>
      </w:pPr>
      <w:r>
        <w:rPr>
          <w:rFonts w:ascii="Times New Roman" w:cs="Times New Roman" w:eastAsia="Times New Roman" w:hAnsi="Times New Roman"/>
          <w:b/>
          <w:bCs/>
          <w:sz w:val="21"/>
          <w:szCs w:val="21"/>
        </w:rPr>
        <w:t xml:space="preserve">Tone and voice replication: </w:t>
      </w:r>
      <w:r>
        <w:rPr>
          <w:rFonts w:ascii="Times New Roman" w:cs="Times New Roman" w:eastAsia="Times New Roman" w:hAnsi="Times New Roman"/>
          <w:sz w:val="21"/>
          <w:szCs w:val="21"/>
        </w:rPr>
        <w:t xml:space="preserve">After the interview, the system builds a voice profile from the transcript and applies it to all Expert Twin responses. The twin sounds like the specific person, not a generic AI assistant.</w:t>
      </w:r>
    </w:p>
    <w:p>
      <w:pPr>
        <w:spacing w:after="80" w:before="40"/>
      </w:pPr>
      <w:r>
        <w:rPr>
          <w:rFonts w:ascii="Times New Roman" w:cs="Times New Roman" w:eastAsia="Times New Roman" w:hAnsi="Times New Roman"/>
          <w:b/>
          <w:bCs/>
          <w:sz w:val="21"/>
          <w:szCs w:val="21"/>
        </w:rPr>
        <w:t xml:space="preserve">Semantic memory retrieval: </w:t>
      </w:r>
      <w:r>
        <w:rPr>
          <w:rFonts w:ascii="Times New Roman" w:cs="Times New Roman" w:eastAsia="Times New Roman" w:hAnsi="Times New Roman"/>
          <w:sz w:val="21"/>
          <w:szCs w:val="21"/>
        </w:rPr>
        <w:t xml:space="preserve">ChromaDB stores knowledge as vector embeddings using the all-MiniLM-L6-v2 model running locally. The system retrieves related knowledge even when query words differ completely from stored answers.</w:t>
      </w:r>
    </w:p>
    <w:p>
      <w:pPr>
        <w:spacing w:after="80" w:before="40"/>
      </w:pPr>
      <w:r>
        <w:rPr>
          <w:rFonts w:ascii="Times New Roman" w:cs="Times New Roman" w:eastAsia="Times New Roman" w:hAnsi="Times New Roman"/>
          <w:b/>
          <w:bCs/>
          <w:sz w:val="21"/>
          <w:szCs w:val="21"/>
        </w:rPr>
        <w:t xml:space="preserve">Counterfactual reasoning engine: </w:t>
      </w:r>
      <w:r>
        <w:rPr>
          <w:rFonts w:ascii="Times New Roman" w:cs="Times New Roman" w:eastAsia="Times New Roman" w:hAnsi="Times New Roman"/>
          <w:sz w:val="21"/>
          <w:szCs w:val="21"/>
        </w:rPr>
        <w:t xml:space="preserve">No existing knowledge management product offers this. The system can reason through consequence chains, cascade effects, and missed warning signals in the alternative timeline.</w:t>
      </w:r>
    </w:p>
    <w:p>
      <w:pPr>
        <w:spacing w:after="80" w:before="0"/>
      </w:pPr>
    </w:p>
    <w:p>
      <w:pPr>
        <w:pStyle w:val="Heading1"/>
        <w:pBdr>
          <w:bottom w:val="single" w:color="000000" w:sz="3"/>
        </w:pBdr>
        <w:spacing w:after="80" w:before="160"/>
      </w:pPr>
      <w:r>
        <w:rPr>
          <w:rFonts w:ascii="Times New Roman" w:cs="Times New Roman" w:eastAsia="Times New Roman" w:hAnsi="Times New Roman"/>
          <w:b/>
          <w:bCs/>
          <w:color w:val="000000"/>
          <w:sz w:val="24"/>
          <w:szCs w:val="24"/>
        </w:rPr>
        <w:t xml:space="preserve">Technology Stack</w:t>
      </w:r>
    </w:p>
    <w:p>
      <w:pPr>
        <w:spacing w:after="100" w:before="40"/>
      </w:pPr>
      <w:r>
        <w:rPr>
          <w:rFonts w:ascii="Times New Roman" w:cs="Times New Roman" w:eastAsia="Times New Roman" w:hAnsi="Times New Roman"/>
          <w:color w:val="000000"/>
          <w:sz w:val="21"/>
          <w:szCs w:val="21"/>
        </w:rPr>
        <w:t xml:space="preserve">All tools used in this project are free and open source. No paid API, cloud subscription, or licence is required.</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60"/>
      </w:tblGrid>
      <w:tr>
        <w:tc>
          <w:tcPr>
            <w:tcW w:type="dxa" w:w="3200"/>
            <w:tcBorders>
              <w:top w:val="single" w:color="AAAAAA" w:sz="1"/>
              <w:left w:val="single" w:color="AAAAAA" w:sz="1"/>
              <w:bottom w:val="single" w:color="000000" w:sz="2"/>
              <w:right w:val="single" w:color="AAAAAA" w:sz="1"/>
            </w:tcBorders>
            <w:shd w:fill="EFEFEF" w:val="clear"/>
            <w:tcMar>
              <w:top w:type="dxa" w:w="60"/>
              <w:left w:type="dxa" w:w="100"/>
              <w:bottom w:type="dxa" w:w="60"/>
              <w:right w:type="dxa" w:w="100"/>
            </w:tcMar>
          </w:tcPr>
          <w:p>
            <w:r>
              <w:rPr>
                <w:rFonts w:ascii="Times New Roman" w:cs="Times New Roman" w:eastAsia="Times New Roman" w:hAnsi="Times New Roman"/>
                <w:b/>
                <w:bCs/>
                <w:sz w:val="19"/>
                <w:szCs w:val="19"/>
              </w:rPr>
              <w:t xml:space="preserve">Tool</w:t>
            </w:r>
          </w:p>
        </w:tc>
        <w:tc>
          <w:tcPr>
            <w:tcW w:type="dxa" w:w="3200"/>
            <w:tcBorders>
              <w:top w:val="single" w:color="AAAAAA" w:sz="1"/>
              <w:left w:val="single" w:color="AAAAAA" w:sz="1"/>
              <w:bottom w:val="single" w:color="000000" w:sz="2"/>
              <w:right w:val="single" w:color="AAAAAA" w:sz="1"/>
            </w:tcBorders>
            <w:shd w:fill="EFEFEF" w:val="clear"/>
            <w:tcMar>
              <w:top w:type="dxa" w:w="60"/>
              <w:left w:type="dxa" w:w="100"/>
              <w:bottom w:type="dxa" w:w="60"/>
              <w:right w:type="dxa" w:w="100"/>
            </w:tcMar>
          </w:tcPr>
          <w:p>
            <w:r>
              <w:rPr>
                <w:rFonts w:ascii="Times New Roman" w:cs="Times New Roman" w:eastAsia="Times New Roman" w:hAnsi="Times New Roman"/>
                <w:b/>
                <w:bCs/>
                <w:sz w:val="19"/>
                <w:szCs w:val="19"/>
              </w:rPr>
              <w:t xml:space="preserve">Role</w:t>
            </w:r>
          </w:p>
        </w:tc>
        <w:tc>
          <w:tcPr>
            <w:tcW w:type="dxa" w:w="2960"/>
            <w:tcBorders>
              <w:top w:val="single" w:color="AAAAAA" w:sz="1"/>
              <w:left w:val="single" w:color="AAAAAA" w:sz="1"/>
              <w:bottom w:val="single" w:color="000000" w:sz="2"/>
              <w:right w:val="single" w:color="AAAAAA" w:sz="1"/>
            </w:tcBorders>
            <w:shd w:fill="EFEFEF" w:val="clear"/>
            <w:tcMar>
              <w:top w:type="dxa" w:w="60"/>
              <w:left w:type="dxa" w:w="100"/>
              <w:bottom w:type="dxa" w:w="60"/>
              <w:right w:type="dxa" w:w="100"/>
            </w:tcMar>
          </w:tcPr>
          <w:p>
            <w:r>
              <w:rPr>
                <w:rFonts w:ascii="Times New Roman" w:cs="Times New Roman" w:eastAsia="Times New Roman" w:hAnsi="Times New Roman"/>
                <w:b/>
                <w:bCs/>
                <w:sz w:val="19"/>
                <w:szCs w:val="19"/>
              </w:rPr>
              <w:t xml:space="preserve">Cost</w:t>
            </w:r>
          </w:p>
        </w:tc>
      </w:tr>
      <w:tr>
        <w:tc>
          <w:tcPr>
            <w:tcW w:type="dxa" w:w="3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Times New Roman" w:cs="Times New Roman" w:eastAsia="Times New Roman" w:hAnsi="Times New Roman"/>
                <w:b/>
                <w:bCs/>
                <w:sz w:val="19"/>
                <w:szCs w:val="19"/>
              </w:rPr>
              <w:t xml:space="preserve">Groq API (llama-3.3-70b)</w:t>
            </w:r>
          </w:p>
        </w:tc>
        <w:tc>
          <w:tcPr>
            <w:tcW w:type="dxa" w:w="3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19"/>
                <w:szCs w:val="19"/>
              </w:rPr>
              <w:t xml:space="preserve">Interview, Twin, Counterfactual agents</w:t>
            </w:r>
          </w:p>
        </w:tc>
        <w:tc>
          <w:tcPr>
            <w:tcW w:type="dxa" w:w="29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19"/>
                <w:szCs w:val="19"/>
              </w:rPr>
              <w:t xml:space="preserve">Free tier</w:t>
            </w:r>
          </w:p>
        </w:tc>
      </w:tr>
      <w:tr>
        <w:tc>
          <w:tcPr>
            <w:tcW w:type="dxa" w:w="3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Times New Roman" w:cs="Times New Roman" w:eastAsia="Times New Roman" w:hAnsi="Times New Roman"/>
                <w:b/>
                <w:bCs/>
                <w:sz w:val="19"/>
                <w:szCs w:val="19"/>
              </w:rPr>
              <w:t xml:space="preserve">Groq API (llama-3.1-8b-instant)</w:t>
            </w:r>
          </w:p>
        </w:tc>
        <w:tc>
          <w:tcPr>
            <w:tcW w:type="dxa" w:w="3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19"/>
                <w:szCs w:val="19"/>
              </w:rPr>
              <w:t xml:space="preserve">Extraction and Explanation agents</w:t>
            </w:r>
          </w:p>
        </w:tc>
        <w:tc>
          <w:tcPr>
            <w:tcW w:type="dxa" w:w="29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19"/>
                <w:szCs w:val="19"/>
              </w:rPr>
              <w:t xml:space="preserve">Free tier</w:t>
            </w:r>
          </w:p>
        </w:tc>
      </w:tr>
      <w:tr>
        <w:tc>
          <w:tcPr>
            <w:tcW w:type="dxa" w:w="3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Times New Roman" w:cs="Times New Roman" w:eastAsia="Times New Roman" w:hAnsi="Times New Roman"/>
                <w:b/>
                <w:bCs/>
                <w:sz w:val="19"/>
                <w:szCs w:val="19"/>
              </w:rPr>
              <w:t xml:space="preserve">ChromaDB</w:t>
            </w:r>
          </w:p>
        </w:tc>
        <w:tc>
          <w:tcPr>
            <w:tcW w:type="dxa" w:w="3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19"/>
                <w:szCs w:val="19"/>
              </w:rPr>
              <w:t xml:space="preserve">Local vector database — persistent memory</w:t>
            </w:r>
          </w:p>
        </w:tc>
        <w:tc>
          <w:tcPr>
            <w:tcW w:type="dxa" w:w="29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19"/>
                <w:szCs w:val="19"/>
              </w:rPr>
              <w:t xml:space="preserve">Open source</w:t>
            </w:r>
          </w:p>
        </w:tc>
      </w:tr>
      <w:tr>
        <w:tc>
          <w:tcPr>
            <w:tcW w:type="dxa" w:w="3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Times New Roman" w:cs="Times New Roman" w:eastAsia="Times New Roman" w:hAnsi="Times New Roman"/>
                <w:b/>
                <w:bCs/>
                <w:sz w:val="19"/>
                <w:szCs w:val="19"/>
              </w:rPr>
              <w:t xml:space="preserve">sentence-transformers</w:t>
            </w:r>
          </w:p>
        </w:tc>
        <w:tc>
          <w:tcPr>
            <w:tcW w:type="dxa" w:w="3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19"/>
                <w:szCs w:val="19"/>
              </w:rPr>
              <w:t xml:space="preserve">Text embedding model — runs locally</w:t>
            </w:r>
          </w:p>
        </w:tc>
        <w:tc>
          <w:tcPr>
            <w:tcW w:type="dxa" w:w="29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19"/>
                <w:szCs w:val="19"/>
              </w:rPr>
              <w:t xml:space="preserve">Open source</w:t>
            </w:r>
          </w:p>
        </w:tc>
      </w:tr>
      <w:tr>
        <w:tc>
          <w:tcPr>
            <w:tcW w:type="dxa" w:w="3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Times New Roman" w:cs="Times New Roman" w:eastAsia="Times New Roman" w:hAnsi="Times New Roman"/>
                <w:b/>
                <w:bCs/>
                <w:sz w:val="19"/>
                <w:szCs w:val="19"/>
              </w:rPr>
              <w:t xml:space="preserve">Streamlit</w:t>
            </w:r>
          </w:p>
        </w:tc>
        <w:tc>
          <w:tcPr>
            <w:tcW w:type="dxa" w:w="3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19"/>
                <w:szCs w:val="19"/>
              </w:rPr>
              <w:t xml:space="preserve">Interactive web application</w:t>
            </w:r>
          </w:p>
        </w:tc>
        <w:tc>
          <w:tcPr>
            <w:tcW w:type="dxa" w:w="29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19"/>
                <w:szCs w:val="19"/>
              </w:rPr>
              <w:t xml:space="preserve">Open source</w:t>
            </w:r>
          </w:p>
        </w:tc>
      </w:tr>
    </w:tbl>
    <w:p>
      <w:pPr>
        <w:spacing w:after="80" w:before="0"/>
      </w:pPr>
    </w:p>
    <w:p>
      <w:pPr>
        <w:pStyle w:val="Heading1"/>
        <w:pBdr>
          <w:bottom w:val="single" w:color="000000" w:sz="3"/>
        </w:pBdr>
        <w:spacing w:after="80" w:before="160"/>
      </w:pPr>
      <w:r>
        <w:rPr>
          <w:rFonts w:ascii="Times New Roman" w:cs="Times New Roman" w:eastAsia="Times New Roman" w:hAnsi="Times New Roman"/>
          <w:b/>
          <w:bCs/>
          <w:color w:val="000000"/>
          <w:sz w:val="24"/>
          <w:szCs w:val="24"/>
        </w:rPr>
        <w:t xml:space="preserve">Why This Differs from Other Systems</w:t>
      </w:r>
    </w:p>
    <w:p>
      <w:pPr>
        <w:spacing w:after="100" w:before="40"/>
      </w:pPr>
      <w:r>
        <w:rPr>
          <w:rFonts w:ascii="Times New Roman" w:cs="Times New Roman" w:eastAsia="Times New Roman" w:hAnsi="Times New Roman"/>
          <w:color w:val="000000"/>
          <w:sz w:val="21"/>
          <w:szCs w:val="21"/>
        </w:rPr>
        <w:t xml:space="preserve">Existing products such as Guru, Tettra, Notion, and SharePoint capture documents and facts. They store what was decided. Expert Oracle captures why it was decided. The combination of structured decision extraction, voice replication, an explanation layer, and a counterfactual reasoning engine in a single free system has no equivalent at any price point. The counterfactual engine in particular — reasoning through alternative timelines using stored expert knowledge — is genuinely novel in this domain.</w:t>
      </w:r>
    </w:p>
    <w:p>
      <w:pPr>
        <w:spacing w:after="80" w:before="0"/>
      </w:pPr>
    </w:p>
    <w:p>
      <w:pPr>
        <w:pStyle w:val="Heading1"/>
        <w:pBdr>
          <w:bottom w:val="single" w:color="000000" w:sz="3"/>
        </w:pBdr>
        <w:spacing w:after="80" w:before="160"/>
      </w:pPr>
      <w:r>
        <w:rPr>
          <w:rFonts w:ascii="Times New Roman" w:cs="Times New Roman" w:eastAsia="Times New Roman" w:hAnsi="Times New Roman"/>
          <w:b/>
          <w:bCs/>
          <w:color w:val="000000"/>
          <w:sz w:val="24"/>
          <w:szCs w:val="24"/>
        </w:rPr>
        <w:t xml:space="preserve">Relevance in 2026 and Beyond</w:t>
      </w:r>
    </w:p>
    <w:p>
      <w:pPr>
        <w:pStyle w:val="ListParagraph"/>
        <w:numPr>
          <w:ilvl w:val="0"/>
          <w:numId w:val="2"/>
        </w:numPr>
        <w:spacing w:after="40" w:before="20"/>
      </w:pPr>
      <w:r>
        <w:rPr>
          <w:rFonts w:ascii="Times New Roman" w:cs="Times New Roman" w:eastAsia="Times New Roman" w:hAnsi="Times New Roman"/>
          <w:sz w:val="21"/>
          <w:szCs w:val="21"/>
        </w:rPr>
        <w:t xml:space="preserve">The generation with the deepest institutional knowledge in corporate history is completing its exit from the workforce. Peak knowledge loss is happening now.</w:t>
      </w:r>
    </w:p>
    <w:p>
      <w:pPr>
        <w:pStyle w:val="ListParagraph"/>
        <w:numPr>
          <w:ilvl w:val="0"/>
          <w:numId w:val="2"/>
        </w:numPr>
        <w:spacing w:after="40" w:before="20"/>
      </w:pPr>
      <w:r>
        <w:rPr>
          <w:rFonts w:ascii="Times New Roman" w:cs="Times New Roman" w:eastAsia="Times New Roman" w:hAnsi="Times New Roman"/>
          <w:sz w:val="21"/>
          <w:szCs w:val="21"/>
        </w:rPr>
        <w:t xml:space="preserve">Organisations are adopting AI tools widely but none solve the institutional memory problem. They answer general questions; they cannot answer what this specific person would have decided.</w:t>
      </w:r>
    </w:p>
    <w:p>
      <w:pPr>
        <w:pStyle w:val="ListParagraph"/>
        <w:numPr>
          <w:ilvl w:val="0"/>
          <w:numId w:val="2"/>
        </w:numPr>
        <w:spacing w:after="40" w:before="20"/>
      </w:pPr>
      <w:r>
        <w:rPr>
          <w:rFonts w:ascii="Times New Roman" w:cs="Times New Roman" w:eastAsia="Times New Roman" w:hAnsi="Times New Roman"/>
          <w:sz w:val="21"/>
          <w:szCs w:val="21"/>
        </w:rPr>
        <w:t xml:space="preserve">Post-pandemic workforce mobility has shortened expert tenure from 5.4 years to 3.2 years since 2020. Knowledge leaves organisations faster than before.</w:t>
      </w:r>
    </w:p>
    <w:p>
      <w:pPr>
        <w:pStyle w:val="ListParagraph"/>
        <w:numPr>
          <w:ilvl w:val="0"/>
          <w:numId w:val="2"/>
        </w:numPr>
        <w:spacing w:after="40" w:before="20"/>
      </w:pPr>
      <w:r>
        <w:rPr>
          <w:rFonts w:ascii="Times New Roman" w:cs="Times New Roman" w:eastAsia="Times New Roman" w:hAnsi="Times New Roman"/>
          <w:sz w:val="21"/>
          <w:szCs w:val="21"/>
        </w:rPr>
        <w:t xml:space="preserve">The free LLM and vector database infrastructure to build this system only became mature and accessible in 2024 and 2025. This project could not have been built two years ago.</w:t>
      </w:r>
    </w:p>
    <w:p>
      <w:pPr>
        <w:spacing w:after="80" w:before="0"/>
      </w:pPr>
    </w:p>
    <w:p>
      <w:pPr>
        <w:pStyle w:val="Heading1"/>
        <w:pBdr>
          <w:bottom w:val="single" w:color="000000" w:sz="3"/>
        </w:pBdr>
        <w:spacing w:after="80" w:before="160"/>
      </w:pPr>
      <w:r>
        <w:rPr>
          <w:rFonts w:ascii="Times New Roman" w:cs="Times New Roman" w:eastAsia="Times New Roman" w:hAnsi="Times New Roman"/>
          <w:b/>
          <w:bCs/>
          <w:color w:val="000000"/>
          <w:sz w:val="24"/>
          <w:szCs w:val="24"/>
        </w:rPr>
        <w:t xml:space="preserve">Assessment Criteria Alignment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AAAAAA" w:sz="1"/>
              <w:left w:val="single" w:color="AAAAAA" w:sz="1"/>
              <w:bottom w:val="single" w:color="000000" w:sz="2"/>
              <w:right w:val="single" w:color="AAAAAA" w:sz="1"/>
            </w:tcBorders>
            <w:shd w:fill="EFEFEF" w:val="clear"/>
            <w:tcMar>
              <w:top w:type="dxa" w:w="60"/>
              <w:left w:type="dxa" w:w="100"/>
              <w:bottom w:type="dxa" w:w="60"/>
              <w:right w:type="dxa" w:w="100"/>
            </w:tcMar>
          </w:tcPr>
          <w:p>
            <w:r>
              <w:rPr>
                <w:rFonts w:ascii="Times New Roman" w:cs="Times New Roman" w:eastAsia="Times New Roman" w:hAnsi="Times New Roman"/>
                <w:b/>
                <w:bCs/>
                <w:sz w:val="19"/>
                <w:szCs w:val="19"/>
              </w:rPr>
              <w:t xml:space="preserve">Criterion</w:t>
            </w:r>
          </w:p>
        </w:tc>
        <w:tc>
          <w:tcPr>
            <w:tcW w:type="dxa" w:w="6960"/>
            <w:tcBorders>
              <w:top w:val="single" w:color="AAAAAA" w:sz="1"/>
              <w:left w:val="single" w:color="AAAAAA" w:sz="1"/>
              <w:bottom w:val="single" w:color="000000" w:sz="2"/>
              <w:right w:val="single" w:color="AAAAAA" w:sz="1"/>
            </w:tcBorders>
            <w:shd w:fill="EFEFEF" w:val="clear"/>
            <w:tcMar>
              <w:top w:type="dxa" w:w="60"/>
              <w:left w:type="dxa" w:w="100"/>
              <w:bottom w:type="dxa" w:w="60"/>
              <w:right w:type="dxa" w:w="100"/>
            </w:tcMar>
          </w:tcPr>
          <w:p>
            <w:r>
              <w:rPr>
                <w:rFonts w:ascii="Times New Roman" w:cs="Times New Roman" w:eastAsia="Times New Roman" w:hAnsi="Times New Roman"/>
                <w:b/>
                <w:bCs/>
                <w:sz w:val="19"/>
                <w:szCs w:val="19"/>
              </w:rPr>
              <w:t xml:space="preserve">Evidence</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Times New Roman" w:cs="Times New Roman" w:eastAsia="Times New Roman" w:hAnsi="Times New Roman"/>
                <w:b/>
                <w:bCs/>
                <w:sz w:val="19"/>
                <w:szCs w:val="19"/>
              </w:rPr>
              <w:t xml:space="preserve">Problem Definition</w:t>
            </w:r>
          </w:p>
        </w:tc>
        <w:tc>
          <w:tcPr>
            <w:tcW w:type="dxa" w:w="69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19"/>
                <w:szCs w:val="19"/>
              </w:rPr>
              <w:t xml:space="preserve">$4.1 trillion problem supported by published data. Real-world scenario with clear urgency. Strong motivation.</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Times New Roman" w:cs="Times New Roman" w:eastAsia="Times New Roman" w:hAnsi="Times New Roman"/>
                <w:b/>
                <w:bCs/>
                <w:sz w:val="19"/>
                <w:szCs w:val="19"/>
              </w:rPr>
              <w:t xml:space="preserve">Creativity and Usefulness</w:t>
            </w:r>
          </w:p>
        </w:tc>
        <w:tc>
          <w:tcPr>
            <w:tcW w:type="dxa" w:w="69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19"/>
                <w:szCs w:val="19"/>
              </w:rPr>
              <w:t xml:space="preserve">Counterfactual engine and tone replication are novel at any price point. Solves a problem every large organisation faces.</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Times New Roman" w:cs="Times New Roman" w:eastAsia="Times New Roman" w:hAnsi="Times New Roman"/>
                <w:b/>
                <w:bCs/>
                <w:sz w:val="19"/>
                <w:szCs w:val="19"/>
              </w:rPr>
              <w:t xml:space="preserve">Technical Implementation</w:t>
            </w:r>
          </w:p>
        </w:tc>
        <w:tc>
          <w:tcPr>
            <w:tcW w:type="dxa" w:w="69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19"/>
                <w:szCs w:val="19"/>
              </w:rPr>
              <w:t xml:space="preserve">Five-agent architecture, RAG pipeline, vector database, JSON extraction, tone profiling — all working and integrated.</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Times New Roman" w:cs="Times New Roman" w:eastAsia="Times New Roman" w:hAnsi="Times New Roman"/>
                <w:b/>
                <w:bCs/>
                <w:sz w:val="19"/>
                <w:szCs w:val="19"/>
              </w:rPr>
              <w:t xml:space="preserve">Video Demonstration</w:t>
            </w:r>
          </w:p>
        </w:tc>
        <w:tc>
          <w:tcPr>
            <w:tcW w:type="dxa" w:w="69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19"/>
                <w:szCs w:val="19"/>
              </w:rPr>
              <w:t xml:space="preserve">60-second YouTube Short: story context, live interview and extraction, knowledge archive, Expert Twin answering crisis question, counterfactual analysis.</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Times New Roman" w:cs="Times New Roman" w:eastAsia="Times New Roman" w:hAnsi="Times New Roman"/>
                <w:b/>
                <w:bCs/>
                <w:sz w:val="19"/>
                <w:szCs w:val="19"/>
              </w:rPr>
              <w:t xml:space="preserve">Presentation Quality</w:t>
            </w:r>
          </w:p>
        </w:tc>
        <w:tc>
          <w:tcPr>
            <w:tcW w:type="dxa" w:w="69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19"/>
                <w:szCs w:val="19"/>
              </w:rPr>
              <w:t xml:space="preserve">Professional dark-theme web application with custom typography and colour-coded knowledge classification system.</w:t>
            </w:r>
          </w:p>
        </w:tc>
      </w:tr>
    </w:tbl>
    <w:p>
      <w:pPr>
        <w:spacing w:after="100" w:before="0"/>
      </w:pPr>
    </w:p>
    <w:p>
      <w:pPr>
        <w:pBdr>
          <w:top w:val="single" w:color="000000" w:sz="3"/>
        </w:pBdr>
        <w:spacing w:after="40" w:before="80"/>
        <w:jc w:val="center"/>
      </w:pPr>
      <w:r>
        <w:rPr>
          <w:rFonts w:ascii="Times New Roman" w:cs="Times New Roman" w:eastAsia="Times New Roman" w:hAnsi="Times New Roman"/>
          <w:b/>
          <w:bCs/>
          <w:i/>
          <w:iCs/>
          <w:sz w:val="24"/>
          <w:szCs w:val="24"/>
        </w:rPr>
        <w:t xml:space="preserve">"The expert never truly retires."</w:t>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0000" w:sz="3"/>
      </w:pBdr>
    </w:pPr>
    <w:r>
      <w:rPr>
        <w:rFonts w:ascii="Times New Roman" w:cs="Times New Roman" w:eastAsia="Times New Roman" w:hAnsi="Times New Roman"/>
        <w:color w:val="555555"/>
        <w:sz w:val="16"/>
        <w:szCs w:val="16"/>
      </w:rPr>
      <w:t xml:space="preserve">BSc Applied Data Science Communication  |  General Sir John Kotelawala Defence University  |  Deadline: 30th April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3"/>
      </w:pBdr>
      <w:tabs>
        <w:tab w:val="right" w:pos="9026"/>
      </w:tabs>
    </w:pPr>
    <w:r>
      <w:rPr>
        <w:rFonts w:ascii="Times New Roman" w:cs="Times New Roman" w:eastAsia="Times New Roman" w:hAnsi="Times New Roman"/>
        <w:color w:val="555555"/>
        <w:sz w:val="18"/>
        <w:szCs w:val="18"/>
      </w:rPr>
      <w:t xml:space="preserve">Expert Oracle — Knowledge Immortalization Agent</w:t>
    </w:r>
    <w:r>
      <w:rPr>
        <w:rFonts w:ascii="Times New Roman" w:cs="Times New Roman" w:eastAsia="Times New Roman" w:hAnsi="Times New Roman"/>
        <w:color w:val="555555"/>
        <w:sz w:val="18"/>
        <w:szCs w:val="18"/>
      </w:rPr>
      <w:t xml:space="preserve">	Thesanya Lamahewa  |  LB3114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160"/>
      <w:outlineLvl w:val="0"/>
    </w:pPr>
    <w:rPr>
      <w:rFonts w:ascii="Times New Roman" w:cs="Times New Roman" w:eastAsia="Times New Roman" w:hAnsi="Times New Roman"/>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2026-04-10T07:09:50.743Z</dcterms:created>
  <dcterms:modified xsi:type="dcterms:W3CDTF">2026-04-10T07:09:50.744Z</dcterms:modified>
</cp:coreProperties>
</file>

<file path=docProps/custom.xml><?xml version="1.0" encoding="utf-8"?>
<Properties xmlns="http://schemas.openxmlformats.org/officeDocument/2006/custom-properties" xmlns:vt="http://schemas.openxmlformats.org/officeDocument/2006/docPropsVTypes"/>
</file>