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Times New Roman" w:cs="Times New Roman" w:eastAsia="Times New Roman" w:hAnsi="Times New Roman"/>
          <w:b/>
          <w:bCs/>
          <w:sz w:val="34"/>
          <w:szCs w:val="34"/>
        </w:rPr>
        <w:t xml:space="preserve">Expert Oracle: Knowledge Immortalization Agent</w:t>
      </w:r>
    </w:p>
    <w:p>
      <w:pPr>
        <w:spacing w:after="40" w:before="0"/>
        <w:jc w:val="center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Project Summary  —  Data Science Applications and AI [LB3114]</w:t>
      </w:r>
    </w:p>
    <w:p>
      <w:pPr>
        <w:spacing w:after="40" w:before="0"/>
        <w:jc w:val="center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Thesanya Lamahewa  |  BSc Applied Data Science Communication  |  Intake 41</w:t>
      </w:r>
    </w:p>
    <w:p>
      <w:pPr>
        <w:spacing w:after="120" w:before="0"/>
        <w:jc w:val="center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General Sir John Kotelawala Defence University  |  Deadline: 30th April 2026</w:t>
      </w:r>
    </w:p>
    <w:p>
      <w:pPr>
        <w:pBdr>
          <w:bottom w:val="single" w:color="000000" w:sz="6"/>
        </w:pBdr>
        <w:spacing w:after="120" w:before="0"/>
      </w:pPr>
    </w:p>
    <w:p>
      <w:pPr>
        <w:pStyle w:val="Heading1"/>
        <w:pBdr>
          <w:bottom w:val="single" w:color="000000" w:sz="3"/>
        </w:pBdr>
        <w:spacing w:after="80" w:before="1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The Problem</w:t>
      </w:r>
    </w:p>
    <w:p>
      <w:pPr>
        <w:spacing w:after="100" w:before="4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Every organisation faces the same quiet crisis. When a senior expert retires or leaves, they carry decades of judgment with them — not facts, but reasoning. The ability to recognise a pattern before it becomes a problem. The instinct to know when the standard approach will not work. That kind of knowledge is never written down, and once it walks out the door, it is gone.</w:t>
      </w:r>
    </w:p>
    <w:p>
      <w:pPr>
        <w:spacing w:after="100" w:before="4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According to McKinsey Institute (2023), organisations lose an estimated $4.1 trillion annually in institutional knowledge. Conventional handover processes capture less than 13% of tacit expertise. A replacement hire typically takes three to seven years to rebuild what a 20-year expert knew. Existing tools — document repositories, wikis, training manuals — capture what was decided. None of them capture why.</w:t>
      </w:r>
    </w:p>
    <w:p>
      <w:pPr>
        <w:spacing w:after="60" w:before="0"/>
      </w:pPr>
    </w:p>
    <w:p>
      <w:pPr>
        <w:pStyle w:val="Heading1"/>
        <w:pBdr>
          <w:bottom w:val="single" w:color="000000" w:sz="3"/>
        </w:pBdr>
        <w:spacing w:after="80" w:before="1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What Expert Oracle Does</w:t>
      </w:r>
    </w:p>
    <w:p>
      <w:pPr>
        <w:spacing w:after="100" w:before="4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Expert Oracle is an autonomous multi-agent AI system that interviews domain experts, extracts their decision logic into structured memory, and then makes that reasoning permanently queryable. The system was built around a specific scenario: a senior financial analyst with 25 years of experience retires on a Friday. On the following Monday, the organisation faces a pricing crisis — raw materials up 34%, a competitor cutting prices by 12%. The team has data but not judgment. Expert Oracle answers the question: what would she have recommended, and why?</w:t>
      </w:r>
    </w:p>
    <w:p>
      <w:pPr>
        <w:spacing w:after="4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60"/>
        <w:gridCol w:w="7400"/>
      </w:tblGrid>
      <w:tr>
        <w:tc>
          <w:tcPr>
            <w:tcW w:type="dxa" w:w="1960"/>
            <w:tcBorders>
              <w:top w:val="single" w:color="AAAAAA" w:sz="1"/>
              <w:left w:val="single" w:color="AAAAAA" w:sz="1"/>
              <w:bottom w:val="single" w:color="000000" w:sz="2"/>
              <w:right w:val="single" w:color="AAAAAA" w:sz="1"/>
            </w:tcBorders>
            <w:shd w:fill="EFEFE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Component</w:t>
            </w:r>
          </w:p>
        </w:tc>
        <w:tc>
          <w:tcPr>
            <w:tcW w:type="dxa" w:w="7400"/>
            <w:tcBorders>
              <w:top w:val="single" w:color="AAAAAA" w:sz="1"/>
              <w:left w:val="single" w:color="AAAAAA" w:sz="1"/>
              <w:bottom w:val="single" w:color="000000" w:sz="2"/>
              <w:right w:val="single" w:color="AAAAAA" w:sz="1"/>
            </w:tcBorders>
            <w:shd w:fill="EFEFE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What It Does</w:t>
            </w:r>
          </w:p>
        </w:tc>
      </w:tr>
      <w:tr>
        <w:tc>
          <w:tcPr>
            <w:tcW w:type="dxa" w:w="1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Interviewer Agent</w:t>
            </w:r>
          </w:p>
        </w:tc>
        <w:tc>
          <w:tcPr>
            <w:tcW w:type="dxa" w:w="7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Conducts a structured conversation with the expert, following a deliberate arc: career overview, key decisions, mental models, failure patterns, and rules of thumb. Probes for specific examples and the reasoning behind every answer.</w:t>
            </w:r>
          </w:p>
        </w:tc>
      </w:tr>
      <w:tr>
        <w:tc>
          <w:tcPr>
            <w:tcW w:type="dxa" w:w="1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Extractor Agent</w:t>
            </w:r>
          </w:p>
        </w:tc>
        <w:tc>
          <w:tcPr>
            <w:tcW w:type="dxa" w:w="7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After every answer, quietly decomposes the response into structured knowledge in IF/THEN/BECAUSE format, tagging each entry by type, confidence level, and past situations referenced.</w:t>
            </w:r>
          </w:p>
        </w:tc>
      </w:tr>
      <w:tr>
        <w:tc>
          <w:tcPr>
            <w:tcW w:type="dxa" w:w="1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Expert Twin Agent</w:t>
            </w:r>
          </w:p>
        </w:tc>
        <w:tc>
          <w:tcPr>
            <w:tcW w:type="dxa" w:w="7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Answers future questions using stored knowledge retrieved semantically. Responds in the expert's own voice — opinionated, direct, grounded in their specific past experiences rather than generic advice.</w:t>
            </w:r>
          </w:p>
        </w:tc>
      </w:tr>
      <w:tr>
        <w:tc>
          <w:tcPr>
            <w:tcW w:type="dxa" w:w="1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Explainer Agent</w:t>
            </w:r>
          </w:p>
        </w:tc>
        <w:tc>
          <w:tcPr>
            <w:tcW w:type="dxa" w:w="7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Accompanies every recommendation with a structured explanation: why I recommend this, what I have seen in similar situations, and what happens if this advice is not followed.</w:t>
            </w:r>
          </w:p>
        </w:tc>
      </w:tr>
      <w:tr>
        <w:tc>
          <w:tcPr>
            <w:tcW w:type="dxa" w:w="1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Counterfactual Agent</w:t>
            </w:r>
          </w:p>
        </w:tc>
        <w:tc>
          <w:tcPr>
            <w:tcW w:type="dxa" w:w="7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On demand, reasons through the alternative timeline — what would have happened if the advice had been ignored — using the expert's stored knowledge of failure patterns and consequences.</w:t>
            </w:r>
          </w:p>
        </w:tc>
      </w:tr>
    </w:tbl>
    <w:p>
      <w:pPr>
        <w:spacing w:after="80" w:before="0"/>
      </w:pPr>
    </w:p>
    <w:p>
      <w:pPr>
        <w:pStyle w:val="Heading1"/>
        <w:pBdr>
          <w:bottom w:val="single" w:color="000000" w:sz="3"/>
        </w:pBdr>
        <w:spacing w:after="80" w:before="1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Key Technical Features</w:t>
      </w:r>
    </w:p>
    <w:p>
      <w:pPr>
        <w:spacing w:after="80" w:before="40"/>
      </w:pP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Structured decision logic: 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Knowledge is stored in IF/THEN/BECAUSE format. The IF describes the triggering situation, the THEN the recommended action, and the BECAUSE the expert's reasoning — the element that is most valuable and most commonly lost.</w:t>
      </w:r>
    </w:p>
    <w:p>
      <w:pPr>
        <w:spacing w:after="80" w:before="40"/>
      </w:pP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Semantic memory retrieval: 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ChromaDB stores all knowledge as vector embeddings using the all-MiniLM-L6-v2 model running locally on the machine. The system finds relevant knowledge even when the question uses different words from the stored answer.</w:t>
      </w:r>
    </w:p>
    <w:p>
      <w:pPr>
        <w:spacing w:after="80" w:before="40"/>
      </w:pP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Voice replication: 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After the interview, the system analyses the transcript to build a tone profile — the expert's communication style, vocabulary, and signature phrases — and applies it to every Expert Twin response.</w:t>
      </w:r>
    </w:p>
    <w:p>
      <w:pPr>
        <w:spacing w:after="80" w:before="40"/>
      </w:pP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Counterfactual reasoning: 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No existing knowledge management product offers this capability. The system reasons through immediate consequences, cascading effects, and the early warning signals that would have been missed in the alternative scenario.</w:t>
      </w:r>
    </w:p>
    <w:p>
      <w:pPr>
        <w:spacing w:after="80" w:before="0"/>
      </w:pPr>
    </w:p>
    <w:p>
      <w:pPr>
        <w:pStyle w:val="Heading1"/>
        <w:pBdr>
          <w:bottom w:val="single" w:color="000000" w:sz="3"/>
        </w:pBdr>
        <w:spacing w:after="80" w:before="1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Technology Stack</w:t>
      </w:r>
    </w:p>
    <w:p>
      <w:pPr>
        <w:spacing w:after="100" w:before="4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Every tool used in this project is free. No paid subscription, API licence, or cloud service is required.</w:t>
      </w:r>
    </w:p>
    <w:p>
      <w:pPr>
        <w:spacing w:after="4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200"/>
        <w:gridCol w:w="2660"/>
      </w:tblGrid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000000" w:sz="2"/>
              <w:right w:val="single" w:color="AAAAAA" w:sz="1"/>
            </w:tcBorders>
            <w:shd w:fill="EFEFE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Tool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000000" w:sz="2"/>
              <w:right w:val="single" w:color="AAAAAA" w:sz="1"/>
            </w:tcBorders>
            <w:shd w:fill="EFEFE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Purpose</w:t>
            </w:r>
          </w:p>
        </w:tc>
        <w:tc>
          <w:tcPr>
            <w:tcW w:type="dxa" w:w="2660"/>
            <w:tcBorders>
              <w:top w:val="single" w:color="AAAAAA" w:sz="1"/>
              <w:left w:val="single" w:color="AAAAAA" w:sz="1"/>
              <w:bottom w:val="single" w:color="000000" w:sz="2"/>
              <w:right w:val="single" w:color="AAAAAA" w:sz="1"/>
            </w:tcBorders>
            <w:shd w:fill="EFEFE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Cost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Groq API (llama-3.3-70b-versatile)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Interview, Twin, and Counterfactual agents</w:t>
            </w:r>
          </w:p>
        </w:tc>
        <w:tc>
          <w:tcPr>
            <w:tcW w:type="dxa" w:w="2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Free tier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Groq API (llama-3.1-8b-instant)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Extraction and Explanation agents</w:t>
            </w:r>
          </w:p>
        </w:tc>
        <w:tc>
          <w:tcPr>
            <w:tcW w:type="dxa" w:w="2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Free tier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ChromaDB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Local persistent vector database</w:t>
            </w:r>
          </w:p>
        </w:tc>
        <w:tc>
          <w:tcPr>
            <w:tcW w:type="dxa" w:w="2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Open source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sentence-transformers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Text embedding model — runs fully locally</w:t>
            </w:r>
          </w:p>
        </w:tc>
        <w:tc>
          <w:tcPr>
            <w:tcW w:type="dxa" w:w="2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Open source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Streamlit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Interactive web application interface</w:t>
            </w:r>
          </w:p>
        </w:tc>
        <w:tc>
          <w:tcPr>
            <w:tcW w:type="dxa" w:w="2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Open source</w:t>
            </w:r>
          </w:p>
        </w:tc>
      </w:tr>
    </w:tbl>
    <w:p>
      <w:pPr>
        <w:spacing w:after="80" w:before="0"/>
      </w:pPr>
    </w:p>
    <w:p>
      <w:pPr>
        <w:pStyle w:val="Heading1"/>
        <w:pBdr>
          <w:bottom w:val="single" w:color="000000" w:sz="3"/>
        </w:pBdr>
        <w:spacing w:after="80" w:before="1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How It Differs from Existing Systems</w:t>
      </w:r>
    </w:p>
    <w:p>
      <w:pPr>
        <w:spacing w:after="100" w:before="4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Tools like Notion, Guru, Tettra, and SharePoint store documents and procedures. They capture what was decided. Expert Oracle captures why. The combination of structured IF/THEN/BECAUSE extraction, a voice replication engine, an explanation layer, and a counterfactual reasoning system in a single free application has no equivalent at any price point. The counterfactual engine in particular — reasoning through alternative timelines using stored expert knowledge — is a genuinely new capability in knowledge management.</w:t>
      </w:r>
    </w:p>
    <w:p>
      <w:pPr>
        <w:spacing w:after="80" w:before="0"/>
      </w:pPr>
    </w:p>
    <w:p>
      <w:pPr>
        <w:pStyle w:val="Heading1"/>
        <w:pBdr>
          <w:bottom w:val="single" w:color="000000" w:sz="3"/>
        </w:pBdr>
        <w:spacing w:after="80" w:before="1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Why This Is Relevant Now</w:t>
      </w:r>
    </w:p>
    <w:p>
      <w:pPr>
        <w:pStyle w:val="ListParagraph"/>
        <w:numPr>
          <w:ilvl w:val="0"/>
          <w:numId w:val="2"/>
        </w:numPr>
        <w:spacing w:after="50" w:before="2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The most knowledge-dense generation in corporate history is completing its retirement. Peak institutional knowledge loss is happening in 2025 and 2026.</w:t>
      </w:r>
    </w:p>
    <w:p>
      <w:pPr>
        <w:pStyle w:val="ListParagraph"/>
        <w:numPr>
          <w:ilvl w:val="0"/>
          <w:numId w:val="2"/>
        </w:numPr>
        <w:spacing w:after="50" w:before="2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Organisations have widely adopted AI tools but none solve the institutional memory problem. Generic AI answers general questions; it cannot answer what this specific person would have decided.</w:t>
      </w:r>
    </w:p>
    <w:p>
      <w:pPr>
        <w:pStyle w:val="ListParagraph"/>
        <w:numPr>
          <w:ilvl w:val="0"/>
          <w:numId w:val="2"/>
        </w:numPr>
        <w:spacing w:after="50" w:before="2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Average expert tenure in knowledge-intensive roles dropped from 5.4 to 3.2 years since 2020. Expertise leaves organisations faster than it is replaced.</w:t>
      </w:r>
    </w:p>
    <w:p>
      <w:pPr>
        <w:pStyle w:val="ListParagraph"/>
        <w:numPr>
          <w:ilvl w:val="0"/>
          <w:numId w:val="2"/>
        </w:numPr>
        <w:spacing w:after="50" w:before="2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The free LLM and vector database infrastructure needed to build this system only became accessible in 2024 and 2025. This project would not have been feasible two years ago.</w:t>
      </w:r>
    </w:p>
    <w:p>
      <w:pPr>
        <w:spacing w:after="80" w:before="0"/>
      </w:pPr>
    </w:p>
    <w:p>
      <w:pPr>
        <w:pStyle w:val="Heading1"/>
        <w:pBdr>
          <w:bottom w:val="single" w:color="000000" w:sz="3"/>
        </w:pBdr>
        <w:spacing w:after="80" w:before="1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Assessment Criteria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000000" w:sz="2"/>
              <w:right w:val="single" w:color="AAAAAA" w:sz="1"/>
            </w:tcBorders>
            <w:shd w:fill="EFEFE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Criterion</w:t>
            </w:r>
          </w:p>
        </w:tc>
        <w:tc>
          <w:tcPr>
            <w:tcW w:type="dxa" w:w="6760"/>
            <w:tcBorders>
              <w:top w:val="single" w:color="AAAAAA" w:sz="1"/>
              <w:left w:val="single" w:color="AAAAAA" w:sz="1"/>
              <w:bottom w:val="single" w:color="000000" w:sz="2"/>
              <w:right w:val="single" w:color="AAAAAA" w:sz="1"/>
            </w:tcBorders>
            <w:shd w:fill="EFEFE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Evidence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Problem Definition and Motivation</w:t>
            </w:r>
          </w:p>
        </w:tc>
        <w:tc>
          <w:tcPr>
            <w:tcW w:type="dxa" w:w="6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Precisely defined problem supported by published data. Real-world scenario with clear urgency tied to current workforce conditions.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Creativity and Usefulness</w:t>
            </w:r>
          </w:p>
        </w:tc>
        <w:tc>
          <w:tcPr>
            <w:tcW w:type="dxa" w:w="6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Counterfactual reasoning engine for knowledge management is novel. No equivalent exists at any price. Solves a problem every large organisation faces.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Technical Implementation</w:t>
            </w:r>
          </w:p>
        </w:tc>
        <w:tc>
          <w:tcPr>
            <w:tcW w:type="dxa" w:w="6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Five-agent architecture, RAG pipeline, vector database with dual collections, structured JSON extraction, tone profiling, counterfactual reasoning — all working and integrated.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Video Demonstration</w:t>
            </w:r>
          </w:p>
        </w:tc>
        <w:tc>
          <w:tcPr>
            <w:tcW w:type="dxa" w:w="6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60-second YouTube Short showing story context, live interview with extraction, knowledge archive, Expert Twin answering a real crisis question, and counterfactual analysis.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Presentation Quality</w:t>
            </w:r>
          </w:p>
        </w:tc>
        <w:tc>
          <w:tcPr>
            <w:tcW w:type="dxa" w:w="6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Professional dark-theme application with custom typography, colour-coded knowledge classification, and multi-panel layout.</w:t>
            </w:r>
          </w:p>
        </w:tc>
      </w:tr>
    </w:tbl>
    <w:p>
      <w:pPr>
        <w:spacing w:after="100" w:before="0"/>
      </w:pPr>
    </w:p>
    <w:p>
      <w:pPr>
        <w:pBdr>
          <w:top w:val="single" w:color="000000" w:sz="3"/>
        </w:pBdr>
        <w:spacing w:after="0" w:before="80"/>
        <w:jc w:val="center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“The expert never truly retires.”</w:t>
      </w:r>
    </w:p>
    <w:sectPr>
      <w:headerReference w:type="default" r:id="rId7"/>
      <w:footerReference w:type="default" r:id="rId8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00000" w:sz="3"/>
      </w:pBdr>
    </w:pPr>
    <w:r>
      <w:rPr>
        <w:rFonts w:ascii="Times New Roman" w:cs="Times New Roman" w:eastAsia="Times New Roman" w:hAnsi="Times New Roman"/>
        <w:color w:val="555555"/>
        <w:sz w:val="16"/>
        <w:szCs w:val="16"/>
      </w:rPr>
      <w:t xml:space="preserve">BSc Applied Data Science Communication  |  General Sir John Kotelawala Defence University  |  30th April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0000" w:sz="3"/>
      </w:pBdr>
      <w:tabs>
        <w:tab w:val="right" w:pos="9026"/>
      </w:tabs>
    </w:pPr>
    <w:r>
      <w:rPr>
        <w:rFonts w:ascii="Times New Roman" w:cs="Times New Roman" w:eastAsia="Times New Roman" w:hAnsi="Times New Roman"/>
        <w:color w:val="555555"/>
        <w:sz w:val="18"/>
        <w:szCs w:val="18"/>
      </w:rPr>
      <w:t xml:space="preserve">Expert Oracle — Knowledge Immortalization Agent</w:t>
    </w:r>
    <w:r>
      <w:rPr>
        <w:rFonts w:ascii="Times New Roman" w:cs="Times New Roman" w:eastAsia="Times New Roman" w:hAnsi="Times New Roman"/>
        <w:color w:val="555555"/>
        <w:sz w:val="18"/>
        <w:szCs w:val="18"/>
      </w:rPr>
      <w:t xml:space="preserve">	Thesanya Lamahewa  |  LB3114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80" w:before="180"/>
      <w:outlineLvl w:val="0"/>
    </w:pPr>
    <w:rPr>
      <w:rFonts w:ascii="Times New Roman" w:cs="Times New Roman" w:eastAsia="Times New Roman" w:hAnsi="Times New Roman"/>
      <w:b/>
      <w:bCs/>
      <w:color w:val="00000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2026-04-10T07:22:22.531Z</dcterms:created>
  <dcterms:modified xsi:type="dcterms:W3CDTF">2026-04-10T07:22:22.532Z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