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Repeated Purchase Patterns of Consumers in a Roblox Virtual Goods Marketplace: An Analysis of Transaction Frequency and Inter-Transaction Intervals</w:t>
      </w:r>
    </w:p>
    <w:p>
      <w:pPr>
        <w:spacing w:after="80"/>
        <w:jc w:val="center"/>
      </w:pPr>
      <w:r>
        <w:rPr>
          <w:b/>
          <w:sz w:val="22"/>
        </w:rPr>
        <w:t>First Author1*, Second Author2</w:t>
      </w:r>
    </w:p>
    <w:p>
      <w:pPr>
        <w:spacing w:after="280"/>
        <w:jc w:val="center"/>
      </w:pPr>
      <w:r>
        <w:rPr>
          <w:i/>
          <w:sz w:val="19"/>
        </w:rPr>
        <w:t>Department of Information Systems, Faculty of Computer Science, University Name</w:t>
        <w:br/>
        <w:t>City, Postal Code, Country</w:t>
        <w:br/>
        <w:t>*Corresponding Email: author@institution.ac.id</w:t>
      </w:r>
    </w:p>
    <w:p>
      <w:pPr>
        <w:spacing w:after="200"/>
        <w:jc w:val="center"/>
      </w:pPr>
      <w:r>
        <w:rPr>
          <w:color w:val="B4B4B4"/>
        </w:rPr>
        <w:t>_________________________________________________________________________________</w:t>
      </w:r>
    </w:p>
    <w:p>
      <w:pPr>
        <w:spacing w:after="80"/>
      </w:pPr>
      <w:r>
        <w:rPr>
          <w:b/>
          <w:sz w:val="22"/>
        </w:rPr>
        <w:t>Abstract</w:t>
      </w:r>
    </w:p>
    <w:p>
      <w:pPr>
        <w:spacing w:after="160" w:line="276" w:lineRule="auto"/>
        <w:jc w:val="both"/>
      </w:pPr>
      <w:r>
        <w:rPr>
          <w:i/>
          <w:sz w:val="20"/>
        </w:rPr>
        <w:t>The rapid expansion of online gaming platforms has fostered secondary markets for virtual goods trading. Understanding transaction dynamics in these Customer-to-Customer (C2C) digital ecosystems is crucial for information systems and consumer analytics. This study investigates the repeated purchase patterns of consumers in a secondary Roblox virtual goods marketplace on the Itemku platform by analyzing transaction frequency and inter-transaction intervals. Utilizing an observational quantitative research design, this study examines an empirical dataset comprising 1,017 completed transactions from 233 unique consumers recorded between June 18, 2026, and September 19, 2026. A comparative cohort analysis was conducted between one-time buyers and repeat buyers. The empirical results demonstrate that repeat buyers represent 60.94% of the total consumer base, generate 91.05% of the total transaction volume (926 orders), and account for 92.62% of total gross revenue (IDR 12,971,800 out of IDR 14,006,100). The inter-transaction interval analysis reveals an average interval of 1.31 calendar days, a median of 0.00 days, and a 75th percentile interval of 0.65 days (15.6 hours), demonstrating rapid, session-driven micro-purchasing behavior. These findings indicate that virtual goods commerce relies predominantly on active repeat purchase retention within compressed operational windows, providing actionable insights for consumer relationship management and marketplace analytics.</w:t>
      </w:r>
    </w:p>
    <w:p>
      <w:pPr>
        <w:spacing w:after="280"/>
      </w:pPr>
      <w:r>
        <w:rPr>
          <w:b/>
          <w:sz w:val="20"/>
        </w:rPr>
        <w:t xml:space="preserve">Keywords: </w:t>
      </w:r>
      <w:r>
        <w:rPr>
          <w:i/>
          <w:sz w:val="20"/>
        </w:rPr>
        <w:t>C2C E-Commerce, Inter-Transaction Interval, Purchase Frequency, Repeat Purchase, Roblox, Virtual Goods.</w:t>
      </w:r>
    </w:p>
    <w:p>
      <w:pPr>
        <w:spacing w:before="240" w:after="80"/>
      </w:pPr>
      <w:r>
        <w:rPr>
          <w:b/>
          <w:sz w:val="23"/>
        </w:rPr>
        <w:t>1. INTRODUCTION</w:t>
      </w:r>
    </w:p>
    <w:p>
      <w:pPr>
        <w:spacing w:after="120" w:line="276" w:lineRule="auto"/>
        <w:jc w:val="both"/>
      </w:pPr>
      <w:r>
        <w:rPr>
          <w:sz w:val="21"/>
        </w:rPr>
        <w:t>The digital entertainment ecosystem has witnessed significant transformation through platform-based online games, among which Roblox has emerged as a prominent environment facilitating millions of daily digital interactions [1]. Within this ecosystem, virtual goods—including digital pets, in-game cosmetics, and progression items—function as economic assets possessing tangible utility and perceived value for active players [2]. While primary virtual asset exchanges occur within proprietary game engines, the high demand for specialized items and pricing flexibilities has fostered secondary Customer-to-Customer (C2C) trading marketplaces, such as Itemku in Indonesia.</w:t>
      </w:r>
    </w:p>
    <w:p>
      <w:pPr>
        <w:spacing w:after="120" w:line="276" w:lineRule="auto"/>
        <w:jc w:val="both"/>
      </w:pPr>
      <w:r>
        <w:rPr>
          <w:sz w:val="21"/>
        </w:rPr>
        <w:t>In the domain of Information Systems (IS) and electronic commerce analytics, secondary transaction log processing constitutes an objective foundation for understanding operational efficiency and user purchasing patterns [3]. Repeat purchase behavior is widely recognized as a vital metric for evaluating customer retention, lifecycle value, and merchant sustainability [4]. In conventional physical e-commerce, transaction frequencies and reorder intervals are heavily constrained by physical logistics, product depreciation, and replenishment cycles [5]. Conversely, virtual goods possess intangible characteristics, zero marginal delivery costs, and instantaneous consumption within digital gaming sessions [6].</w:t>
      </w:r>
    </w:p>
    <w:p>
      <w:pPr>
        <w:spacing w:after="120" w:line="276" w:lineRule="auto"/>
        <w:jc w:val="both"/>
      </w:pPr>
      <w:r>
        <w:rPr>
          <w:sz w:val="21"/>
        </w:rPr>
        <w:t>Prior Information Systems and consumer behavior literature concerning virtual items has predominantly relied on perceptual survey methodologies, employing frameworks such as the Technology Acceptance Model (TAM) and the Theory of Planned Behavior to measure purchase intentions [7], [8]. However, empirical studies examining actual secondary transaction logs to evaluate granular frequency distributions and inter-transaction time intervals remain scarce. This creates a recognized empirical research gap regarding how repeat purchasing genuinely unfolds at the transaction level in secondary gaming asset markets.</w:t>
      </w:r>
    </w:p>
    <w:p>
      <w:pPr>
        <w:spacing w:after="120" w:line="276" w:lineRule="auto"/>
        <w:jc w:val="both"/>
      </w:pPr>
      <w:r>
        <w:rPr>
          <w:sz w:val="21"/>
        </w:rPr>
        <w:t>To address this gap, this study examines the repeat purchase behavior of consumers in a Roblox virtual goods secondary marketplace using empirical transaction log data. Specifically, this research addresses three research questions: (RQ1) What is the structural distribution of consumers when segmented into one-time and repeat buyers? (RQ2) What characteristics define the transaction frequency distribution across the consumer base? and (RQ3) What temporal patterns characterize the inter-transaction intervals among repeat buyers? By grounding the analysis in 1,017 actual transaction records, this paper provides verifiable empirical evidence on digital micro-transaction retention without relying on unmeasured psychological assumptions.</w:t>
      </w:r>
    </w:p>
    <w:p>
      <w:pPr>
        <w:spacing w:before="240" w:after="80"/>
      </w:pPr>
      <w:r>
        <w:rPr>
          <w:b/>
          <w:sz w:val="23"/>
        </w:rPr>
        <w:t>2. RELATED WORK</w:t>
      </w:r>
    </w:p>
    <w:p>
      <w:pPr>
        <w:spacing w:after="120" w:line="276" w:lineRule="auto"/>
        <w:jc w:val="both"/>
      </w:pPr>
      <w:r>
        <w:rPr>
          <w:sz w:val="21"/>
        </w:rPr>
        <w:t>Virtual goods commerce has been explored from multiple academic perspectives, including game economics, consumer motivation, and digital asset valuation. Hamari and Lehdonvirta established that game mechanics and social dynamics directly generate economic demand for virtual assets [1]. Lehdonvirta further categorized virtual item attributes into functional, aesthetic, and social dimensions, demonstrating that in-game items drive monetization models through continuous engagement [2]. Fairfield examined the legal and institutional aspects of virtual property, highlighting how ownership constructs translate into real-world economic value [6].</w:t>
      </w:r>
    </w:p>
    <w:p>
      <w:pPr>
        <w:spacing w:after="120" w:line="276" w:lineRule="auto"/>
        <w:jc w:val="both"/>
      </w:pPr>
      <w:r>
        <w:rPr>
          <w:sz w:val="21"/>
        </w:rPr>
        <w:t>From an analytical Information Systems perspective, transaction data analysis provides empirical rigor by tracking objective behavioral events rather than self-reported intentions. Fader, Hardie, and Lee developed foundational customer base analysis models based on Recency, Frequency, and Monetary (RFM) metrics, proving that transaction frequency and interval timings serve as primary parameters for predicting customer lifetime activity [3]. In digital retail environments, Chintagunta, Chu, and Cebollada demonstrated that transaction costs and fulfillment delays directly influence channel selection and repurchase tendencies [5].</w:t>
      </w:r>
    </w:p>
    <w:p>
      <w:pPr>
        <w:spacing w:after="120" w:line="276" w:lineRule="auto"/>
        <w:jc w:val="both"/>
      </w:pPr>
      <w:r>
        <w:rPr>
          <w:sz w:val="21"/>
        </w:rPr>
        <w:t>Despite these foundational contributions, contemporary literature lacks empirical investigation into micro-transaction logs within emerging peer-to-peer and C2C gaming secondary markets. Existing studies frequently model repeat purchases under the assumption of elongated inter-purchase cycles typical of physical goods. Consequently, observing empirical transaction intervals and frequency concentrations in rapid digital gaming markets provides a valuable contextual extension to Information Systems transaction analytics.</w:t>
      </w:r>
    </w:p>
    <w:p>
      <w:pPr>
        <w:spacing w:before="240" w:after="80"/>
      </w:pPr>
      <w:r>
        <w:rPr>
          <w:b/>
          <w:sz w:val="23"/>
        </w:rPr>
        <w:t>3. RESEARCH METHOD</w:t>
      </w:r>
    </w:p>
    <w:p>
      <w:pPr>
        <w:spacing w:before="160" w:after="60"/>
      </w:pPr>
      <w:r>
        <w:rPr>
          <w:b/>
          <w:sz w:val="21"/>
        </w:rPr>
        <w:t>3.1 Research Design and Analytical Workflow</w:t>
      </w:r>
    </w:p>
    <w:p>
      <w:pPr>
        <w:spacing w:after="120" w:line="276" w:lineRule="auto"/>
        <w:jc w:val="both"/>
      </w:pPr>
      <w:r>
        <w:rPr>
          <w:sz w:val="21"/>
        </w:rPr>
        <w:t>This study adopts an observational quantitative research design utilizing secondary transaction data. The analytical workflow comprises six systematic phases: (1) Raw Data Ingestion from multi-period merchant logs, (2) Data Preprocessing and Deduplication, (3) Consumer Identification and Transaction Aggregation, (4) One-Time versus Repeat Buyer Cohort Classification, (5) Purchase Frequency and Inter-Transaction Interval Computation, and (6) Comparative Descriptive Analytics and Discussion.</w:t>
      </w:r>
    </w:p>
    <w:p>
      <w:pPr>
        <w:spacing w:before="160" w:after="60"/>
      </w:pPr>
      <w:r>
        <w:rPr>
          <w:b/>
          <w:sz w:val="21"/>
        </w:rPr>
        <w:t>3.2 Dataset Description</w:t>
      </w:r>
    </w:p>
    <w:p>
      <w:pPr>
        <w:spacing w:after="120" w:line="276" w:lineRule="auto"/>
        <w:jc w:val="both"/>
      </w:pPr>
      <w:r>
        <w:rPr>
          <w:sz w:val="21"/>
        </w:rPr>
        <w:t>The empirical dataset comprises secondary transaction records obtained from an active merchant operating on the Itemku marketplace platform, specializing in Roblox digital assets (primarily within the sub-games 'Build A Zoo' and 'Chop Your Tree'). The observation window spans 94 consecutive calendar days, from June 18, 2026, to September 19, 2026. The combined dataset encompasses 1,017 validated transaction records generated by 233 unique consumer accounts across 337 distinct digital item listings. Table 1 outlines the dataset variables and their operational definitions.</w:t>
      </w:r>
    </w:p>
    <w:p>
      <w:pPr>
        <w:spacing w:before="120" w:after="60"/>
      </w:pPr>
      <w:r>
        <w:rPr>
          <w:b/>
          <w:sz w:val="20"/>
        </w:rPr>
        <w:t>Table 1. Dataset Variables and Operational Definitions</w:t>
      </w:r>
    </w:p>
    <w:tbl>
      <w:tblPr>
        <w:tblW w:type="auto" w:w="0"/>
        <w:jc w:val="center"/>
        <w:tblLook w:firstColumn="1" w:firstRow="1" w:lastColumn="0" w:lastRow="0" w:noHBand="0" w:noVBand="1" w:val="04A0"/>
      </w:tblPr>
      <w:tblGrid>
        <w:gridCol w:w="2257"/>
        <w:gridCol w:w="2257"/>
        <w:gridCol w:w="2257"/>
        <w:gridCol w:w="2257"/>
      </w:tblGrid>
      <w:tr>
        <w:tc>
          <w:tcPr>
            <w:tcW w:type="dxa" w:w="2257"/>
            <w:vAlign w:val="center"/>
            <w:tcMar>
              <w:top w:w="120" w:type="dxa"/>
              <w:bottom w:w="120" w:type="dxa"/>
              <w:left w:w="180" w:type="dxa"/>
              <w:right w:w="180" w:type="dxa"/>
            </w:tcMar>
            <w:shd w:fill="E8EEF5"/>
          </w:tcPr>
          <w:p>
            <w:pPr>
              <w:spacing w:after="40"/>
            </w:pPr>
            <w:r>
              <w:rPr>
                <w:b/>
                <w:sz w:val="19"/>
              </w:rPr>
              <w:t>Variable</w:t>
            </w:r>
          </w:p>
        </w:tc>
        <w:tc>
          <w:tcPr>
            <w:tcW w:type="dxa" w:w="2257"/>
            <w:vAlign w:val="center"/>
            <w:tcMar>
              <w:top w:w="120" w:type="dxa"/>
              <w:bottom w:w="120" w:type="dxa"/>
              <w:left w:w="180" w:type="dxa"/>
              <w:right w:w="180" w:type="dxa"/>
            </w:tcMar>
            <w:shd w:fill="E8EEF5"/>
          </w:tcPr>
          <w:p>
            <w:pPr>
              <w:spacing w:after="40"/>
            </w:pPr>
            <w:r>
              <w:rPr>
                <w:b/>
                <w:sz w:val="19"/>
              </w:rPr>
              <w:t>Description</w:t>
            </w:r>
          </w:p>
        </w:tc>
        <w:tc>
          <w:tcPr>
            <w:tcW w:type="dxa" w:w="2257"/>
            <w:vAlign w:val="center"/>
            <w:tcMar>
              <w:top w:w="120" w:type="dxa"/>
              <w:bottom w:w="120" w:type="dxa"/>
              <w:left w:w="180" w:type="dxa"/>
              <w:right w:w="180" w:type="dxa"/>
            </w:tcMar>
            <w:shd w:fill="E8EEF5"/>
          </w:tcPr>
          <w:p>
            <w:pPr>
              <w:spacing w:after="40"/>
            </w:pPr>
            <w:r>
              <w:rPr>
                <w:b/>
                <w:sz w:val="19"/>
              </w:rPr>
              <w:t>Data Type</w:t>
            </w:r>
          </w:p>
        </w:tc>
        <w:tc>
          <w:tcPr>
            <w:tcW w:type="dxa" w:w="2257"/>
            <w:vAlign w:val="center"/>
            <w:tcMar>
              <w:top w:w="120" w:type="dxa"/>
              <w:bottom w:w="120" w:type="dxa"/>
              <w:left w:w="180" w:type="dxa"/>
              <w:right w:w="180" w:type="dxa"/>
            </w:tcMar>
            <w:shd w:fill="E8EEF5"/>
          </w:tcPr>
          <w:p>
            <w:pPr>
              <w:spacing w:after="40"/>
            </w:pPr>
            <w:r>
              <w:rPr>
                <w:b/>
                <w:sz w:val="19"/>
              </w:rPr>
              <w:t>Role in Analysis</w:t>
            </w:r>
          </w:p>
        </w:tc>
      </w:tr>
      <w:tr>
        <w:tc>
          <w:tcPr>
            <w:tcW w:type="dxa" w:w="2257"/>
            <w:vAlign w:val="center"/>
            <w:tcMar>
              <w:top w:w="120" w:type="dxa"/>
              <w:bottom w:w="120" w:type="dxa"/>
              <w:left w:w="180" w:type="dxa"/>
              <w:right w:w="180" w:type="dxa"/>
            </w:tcMar>
          </w:tcPr>
          <w:p>
            <w:pPr>
              <w:spacing w:after="40"/>
            </w:pPr>
            <w:r>
              <w:rPr>
                <w:sz w:val="18"/>
              </w:rPr>
              <w:t>Nomor_Pesanan</w:t>
            </w:r>
          </w:p>
        </w:tc>
        <w:tc>
          <w:tcPr>
            <w:tcW w:type="dxa" w:w="2257"/>
            <w:vAlign w:val="center"/>
            <w:tcMar>
              <w:top w:w="120" w:type="dxa"/>
              <w:bottom w:w="120" w:type="dxa"/>
              <w:left w:w="180" w:type="dxa"/>
              <w:right w:w="180" w:type="dxa"/>
            </w:tcMar>
          </w:tcPr>
          <w:p>
            <w:pPr>
              <w:spacing w:after="40"/>
            </w:pPr>
            <w:r>
              <w:rPr>
                <w:sz w:val="18"/>
              </w:rPr>
              <w:t>Unique order identifier assigned by marketplace system</w:t>
            </w:r>
          </w:p>
        </w:tc>
        <w:tc>
          <w:tcPr>
            <w:tcW w:type="dxa" w:w="2257"/>
            <w:vAlign w:val="center"/>
            <w:tcMar>
              <w:top w:w="120" w:type="dxa"/>
              <w:bottom w:w="120" w:type="dxa"/>
              <w:left w:w="180" w:type="dxa"/>
              <w:right w:w="180" w:type="dxa"/>
            </w:tcMar>
          </w:tcPr>
          <w:p>
            <w:pPr>
              <w:spacing w:after="40"/>
            </w:pPr>
            <w:r>
              <w:rPr>
                <w:sz w:val="18"/>
              </w:rPr>
              <w:t>String</w:t>
            </w:r>
          </w:p>
        </w:tc>
        <w:tc>
          <w:tcPr>
            <w:tcW w:type="dxa" w:w="2257"/>
            <w:vAlign w:val="center"/>
            <w:tcMar>
              <w:top w:w="120" w:type="dxa"/>
              <w:bottom w:w="120" w:type="dxa"/>
              <w:left w:w="180" w:type="dxa"/>
              <w:right w:w="180" w:type="dxa"/>
            </w:tcMar>
          </w:tcPr>
          <w:p>
            <w:pPr>
              <w:spacing w:after="40"/>
            </w:pPr>
            <w:r>
              <w:rPr>
                <w:sz w:val="18"/>
              </w:rPr>
              <w:t>Primary transaction key</w:t>
            </w:r>
          </w:p>
        </w:tc>
      </w:tr>
      <w:tr>
        <w:tc>
          <w:tcPr>
            <w:tcW w:type="dxa" w:w="2257"/>
            <w:vAlign w:val="center"/>
            <w:tcMar>
              <w:top w:w="120" w:type="dxa"/>
              <w:bottom w:w="120" w:type="dxa"/>
              <w:left w:w="180" w:type="dxa"/>
              <w:right w:w="180" w:type="dxa"/>
            </w:tcMar>
          </w:tcPr>
          <w:p>
            <w:pPr>
              <w:spacing w:after="40"/>
            </w:pPr>
            <w:r>
              <w:rPr>
                <w:sz w:val="18"/>
              </w:rPr>
              <w:t>Nama_Pembeli</w:t>
            </w:r>
          </w:p>
        </w:tc>
        <w:tc>
          <w:tcPr>
            <w:tcW w:type="dxa" w:w="2257"/>
            <w:vAlign w:val="center"/>
            <w:tcMar>
              <w:top w:w="120" w:type="dxa"/>
              <w:bottom w:w="120" w:type="dxa"/>
              <w:left w:w="180" w:type="dxa"/>
              <w:right w:w="180" w:type="dxa"/>
            </w:tcMar>
          </w:tcPr>
          <w:p>
            <w:pPr>
              <w:spacing w:after="40"/>
            </w:pPr>
            <w:r>
              <w:rPr>
                <w:sz w:val="18"/>
              </w:rPr>
              <w:t>Anonymized consumer account username</w:t>
            </w:r>
          </w:p>
        </w:tc>
        <w:tc>
          <w:tcPr>
            <w:tcW w:type="dxa" w:w="2257"/>
            <w:vAlign w:val="center"/>
            <w:tcMar>
              <w:top w:w="120" w:type="dxa"/>
              <w:bottom w:w="120" w:type="dxa"/>
              <w:left w:w="180" w:type="dxa"/>
              <w:right w:w="180" w:type="dxa"/>
            </w:tcMar>
          </w:tcPr>
          <w:p>
            <w:pPr>
              <w:spacing w:after="40"/>
            </w:pPr>
            <w:r>
              <w:rPr>
                <w:sz w:val="18"/>
              </w:rPr>
              <w:t>String</w:t>
            </w:r>
          </w:p>
        </w:tc>
        <w:tc>
          <w:tcPr>
            <w:tcW w:type="dxa" w:w="2257"/>
            <w:vAlign w:val="center"/>
            <w:tcMar>
              <w:top w:w="120" w:type="dxa"/>
              <w:bottom w:w="120" w:type="dxa"/>
              <w:left w:w="180" w:type="dxa"/>
              <w:right w:w="180" w:type="dxa"/>
            </w:tcMar>
          </w:tcPr>
          <w:p>
            <w:pPr>
              <w:spacing w:after="40"/>
            </w:pPr>
            <w:r>
              <w:rPr>
                <w:sz w:val="18"/>
              </w:rPr>
              <w:t>Consumer identifier (Unit of analysis)</w:t>
            </w:r>
          </w:p>
        </w:tc>
      </w:tr>
      <w:tr>
        <w:tc>
          <w:tcPr>
            <w:tcW w:type="dxa" w:w="2257"/>
            <w:vAlign w:val="center"/>
            <w:tcMar>
              <w:top w:w="120" w:type="dxa"/>
              <w:bottom w:w="120" w:type="dxa"/>
              <w:left w:w="180" w:type="dxa"/>
              <w:right w:w="180" w:type="dxa"/>
            </w:tcMar>
          </w:tcPr>
          <w:p>
            <w:pPr>
              <w:spacing w:after="40"/>
            </w:pPr>
            <w:r>
              <w:rPr>
                <w:sz w:val="18"/>
              </w:rPr>
              <w:t>Tanggal_Dibayar_Pembeli</w:t>
            </w:r>
          </w:p>
        </w:tc>
        <w:tc>
          <w:tcPr>
            <w:tcW w:type="dxa" w:w="2257"/>
            <w:vAlign w:val="center"/>
            <w:tcMar>
              <w:top w:w="120" w:type="dxa"/>
              <w:bottom w:w="120" w:type="dxa"/>
              <w:left w:w="180" w:type="dxa"/>
              <w:right w:w="180" w:type="dxa"/>
            </w:tcMar>
          </w:tcPr>
          <w:p>
            <w:pPr>
              <w:spacing w:after="40"/>
            </w:pPr>
            <w:r>
              <w:rPr>
                <w:sz w:val="18"/>
              </w:rPr>
              <w:t>Timestamp of verified payment completion (WIB)</w:t>
            </w:r>
          </w:p>
        </w:tc>
        <w:tc>
          <w:tcPr>
            <w:tcW w:type="dxa" w:w="2257"/>
            <w:vAlign w:val="center"/>
            <w:tcMar>
              <w:top w:w="120" w:type="dxa"/>
              <w:bottom w:w="120" w:type="dxa"/>
              <w:left w:w="180" w:type="dxa"/>
              <w:right w:w="180" w:type="dxa"/>
            </w:tcMar>
          </w:tcPr>
          <w:p>
            <w:pPr>
              <w:spacing w:after="40"/>
            </w:pPr>
            <w:r>
              <w:rPr>
                <w:sz w:val="18"/>
              </w:rPr>
              <w:t>Datetime</w:t>
            </w:r>
          </w:p>
        </w:tc>
        <w:tc>
          <w:tcPr>
            <w:tcW w:type="dxa" w:w="2257"/>
            <w:vAlign w:val="center"/>
            <w:tcMar>
              <w:top w:w="120" w:type="dxa"/>
              <w:bottom w:w="120" w:type="dxa"/>
              <w:left w:w="180" w:type="dxa"/>
              <w:right w:w="180" w:type="dxa"/>
            </w:tcMar>
          </w:tcPr>
          <w:p>
            <w:pPr>
              <w:spacing w:after="40"/>
            </w:pPr>
            <w:r>
              <w:rPr>
                <w:sz w:val="18"/>
              </w:rPr>
              <w:t>Temporal timestamp for transaction ordering</w:t>
            </w:r>
          </w:p>
        </w:tc>
      </w:tr>
      <w:tr>
        <w:tc>
          <w:tcPr>
            <w:tcW w:type="dxa" w:w="2257"/>
            <w:vAlign w:val="center"/>
            <w:tcMar>
              <w:top w:w="120" w:type="dxa"/>
              <w:bottom w:w="120" w:type="dxa"/>
              <w:left w:w="180" w:type="dxa"/>
              <w:right w:w="180" w:type="dxa"/>
            </w:tcMar>
          </w:tcPr>
          <w:p>
            <w:pPr>
              <w:spacing w:after="40"/>
            </w:pPr>
            <w:r>
              <w:rPr>
                <w:sz w:val="18"/>
              </w:rPr>
              <w:t>Tanggal_Dikirim</w:t>
            </w:r>
          </w:p>
        </w:tc>
        <w:tc>
          <w:tcPr>
            <w:tcW w:type="dxa" w:w="2257"/>
            <w:vAlign w:val="center"/>
            <w:tcMar>
              <w:top w:w="120" w:type="dxa"/>
              <w:bottom w:w="120" w:type="dxa"/>
              <w:left w:w="180" w:type="dxa"/>
              <w:right w:w="180" w:type="dxa"/>
            </w:tcMar>
          </w:tcPr>
          <w:p>
            <w:pPr>
              <w:spacing w:after="40"/>
            </w:pPr>
            <w:r>
              <w:rPr>
                <w:sz w:val="18"/>
              </w:rPr>
              <w:t>Timestamp when merchant completed in-game delivery</w:t>
            </w:r>
          </w:p>
        </w:tc>
        <w:tc>
          <w:tcPr>
            <w:tcW w:type="dxa" w:w="2257"/>
            <w:vAlign w:val="center"/>
            <w:tcMar>
              <w:top w:w="120" w:type="dxa"/>
              <w:bottom w:w="120" w:type="dxa"/>
              <w:left w:w="180" w:type="dxa"/>
              <w:right w:w="180" w:type="dxa"/>
            </w:tcMar>
          </w:tcPr>
          <w:p>
            <w:pPr>
              <w:spacing w:after="40"/>
            </w:pPr>
            <w:r>
              <w:rPr>
                <w:sz w:val="18"/>
              </w:rPr>
              <w:t>Datetime</w:t>
            </w:r>
          </w:p>
        </w:tc>
        <w:tc>
          <w:tcPr>
            <w:tcW w:type="dxa" w:w="2257"/>
            <w:vAlign w:val="center"/>
            <w:tcMar>
              <w:top w:w="120" w:type="dxa"/>
              <w:bottom w:w="120" w:type="dxa"/>
              <w:left w:w="180" w:type="dxa"/>
              <w:right w:w="180" w:type="dxa"/>
            </w:tcMar>
          </w:tcPr>
          <w:p>
            <w:pPr>
              <w:spacing w:after="40"/>
            </w:pPr>
            <w:r>
              <w:rPr>
                <w:sz w:val="18"/>
              </w:rPr>
              <w:t>Fulfillment duration endpoint</w:t>
            </w:r>
          </w:p>
        </w:tc>
      </w:tr>
      <w:tr>
        <w:tc>
          <w:tcPr>
            <w:tcW w:type="dxa" w:w="2257"/>
            <w:vAlign w:val="center"/>
            <w:tcMar>
              <w:top w:w="120" w:type="dxa"/>
              <w:bottom w:w="120" w:type="dxa"/>
              <w:left w:w="180" w:type="dxa"/>
              <w:right w:w="180" w:type="dxa"/>
            </w:tcMar>
          </w:tcPr>
          <w:p>
            <w:pPr>
              <w:spacing w:after="40"/>
            </w:pPr>
            <w:r>
              <w:rPr>
                <w:sz w:val="18"/>
              </w:rPr>
              <w:t>Harga_Jual</w:t>
            </w:r>
          </w:p>
        </w:tc>
        <w:tc>
          <w:tcPr>
            <w:tcW w:type="dxa" w:w="2257"/>
            <w:vAlign w:val="center"/>
            <w:tcMar>
              <w:top w:w="120" w:type="dxa"/>
              <w:bottom w:w="120" w:type="dxa"/>
              <w:left w:w="180" w:type="dxa"/>
              <w:right w:w="180" w:type="dxa"/>
            </w:tcMar>
          </w:tcPr>
          <w:p>
            <w:pPr>
              <w:spacing w:after="40"/>
            </w:pPr>
            <w:r>
              <w:rPr>
                <w:sz w:val="18"/>
              </w:rPr>
              <w:t>Gross transaction price in Indonesian Rupiah (IDR)</w:t>
            </w:r>
          </w:p>
        </w:tc>
        <w:tc>
          <w:tcPr>
            <w:tcW w:type="dxa" w:w="2257"/>
            <w:vAlign w:val="center"/>
            <w:tcMar>
              <w:top w:w="120" w:type="dxa"/>
              <w:bottom w:w="120" w:type="dxa"/>
              <w:left w:w="180" w:type="dxa"/>
              <w:right w:w="180" w:type="dxa"/>
            </w:tcMar>
          </w:tcPr>
          <w:p>
            <w:pPr>
              <w:spacing w:after="40"/>
            </w:pPr>
            <w:r>
              <w:rPr>
                <w:sz w:val="18"/>
              </w:rPr>
              <w:t>Integer</w:t>
            </w:r>
          </w:p>
        </w:tc>
        <w:tc>
          <w:tcPr>
            <w:tcW w:type="dxa" w:w="2257"/>
            <w:vAlign w:val="center"/>
            <w:tcMar>
              <w:top w:w="120" w:type="dxa"/>
              <w:bottom w:w="120" w:type="dxa"/>
              <w:left w:w="180" w:type="dxa"/>
              <w:right w:w="180" w:type="dxa"/>
            </w:tcMar>
          </w:tcPr>
          <w:p>
            <w:pPr>
              <w:spacing w:after="40"/>
            </w:pPr>
            <w:r>
              <w:rPr>
                <w:sz w:val="18"/>
              </w:rPr>
              <w:t>Monetary transaction value metric</w:t>
            </w:r>
          </w:p>
        </w:tc>
      </w:tr>
      <w:tr>
        <w:tc>
          <w:tcPr>
            <w:tcW w:type="dxa" w:w="2257"/>
            <w:vAlign w:val="center"/>
            <w:tcMar>
              <w:top w:w="120" w:type="dxa"/>
              <w:bottom w:w="120" w:type="dxa"/>
              <w:left w:w="180" w:type="dxa"/>
              <w:right w:w="180" w:type="dxa"/>
            </w:tcMar>
          </w:tcPr>
          <w:p>
            <w:pPr>
              <w:spacing w:after="40"/>
            </w:pPr>
            <w:r>
              <w:rPr>
                <w:sz w:val="18"/>
              </w:rPr>
              <w:t>Status_Pesanan</w:t>
            </w:r>
          </w:p>
        </w:tc>
        <w:tc>
          <w:tcPr>
            <w:tcW w:type="dxa" w:w="2257"/>
            <w:vAlign w:val="center"/>
            <w:tcMar>
              <w:top w:w="120" w:type="dxa"/>
              <w:bottom w:w="120" w:type="dxa"/>
              <w:left w:w="180" w:type="dxa"/>
              <w:right w:w="180" w:type="dxa"/>
            </w:tcMar>
          </w:tcPr>
          <w:p>
            <w:pPr>
              <w:spacing w:after="40"/>
            </w:pPr>
            <w:r>
              <w:rPr>
                <w:sz w:val="18"/>
              </w:rPr>
              <w:t>Final operational order status (Completed, Refunded, Confirming)</w:t>
            </w:r>
          </w:p>
        </w:tc>
        <w:tc>
          <w:tcPr>
            <w:tcW w:type="dxa" w:w="2257"/>
            <w:vAlign w:val="center"/>
            <w:tcMar>
              <w:top w:w="120" w:type="dxa"/>
              <w:bottom w:w="120" w:type="dxa"/>
              <w:left w:w="180" w:type="dxa"/>
              <w:right w:w="180" w:type="dxa"/>
            </w:tcMar>
          </w:tcPr>
          <w:p>
            <w:pPr>
              <w:spacing w:after="40"/>
            </w:pPr>
            <w:r>
              <w:rPr>
                <w:sz w:val="18"/>
              </w:rPr>
              <w:t>Categorical</w:t>
            </w:r>
          </w:p>
        </w:tc>
        <w:tc>
          <w:tcPr>
            <w:tcW w:type="dxa" w:w="2257"/>
            <w:vAlign w:val="center"/>
            <w:tcMar>
              <w:top w:w="120" w:type="dxa"/>
              <w:bottom w:w="120" w:type="dxa"/>
              <w:left w:w="180" w:type="dxa"/>
              <w:right w:w="180" w:type="dxa"/>
            </w:tcMar>
          </w:tcPr>
          <w:p>
            <w:pPr>
              <w:spacing w:after="40"/>
            </w:pPr>
            <w:r>
              <w:rPr>
                <w:sz w:val="18"/>
              </w:rPr>
              <w:t>Transaction validity filtering</w:t>
            </w:r>
          </w:p>
        </w:tc>
      </w:tr>
    </w:tbl>
    <w:p>
      <w:pPr>
        <w:spacing w:before="160" w:after="60"/>
      </w:pPr>
      <w:r>
        <w:rPr>
          <w:b/>
          <w:sz w:val="21"/>
        </w:rPr>
        <w:t>3.3 Data Preprocessing and Data Quality Audit</w:t>
      </w:r>
    </w:p>
    <w:p>
      <w:pPr>
        <w:spacing w:after="120" w:line="276" w:lineRule="auto"/>
        <w:jc w:val="both"/>
      </w:pPr>
      <w:r>
        <w:rPr>
          <w:sz w:val="21"/>
        </w:rPr>
        <w:t>A rigorous data quality audit was executed across all 1,017 records. No duplicate order identifiers (Nomor_Pesanan) were present. Key transaction fields (Nomor_Pesanan, Nama_Pembeli, Tanggal_Dibayar_Pembeli, Harga_Jual) exhibited zero missing values (100% complete). The order status distribution comprises 922 Completed orders (90.66%), 77 Refunded orders (7.57%), and 18 Buyer Confirmation orders (1.77%). Numerical integrity checks confirmed no negative prices or zero quantities; Harga_Jual ranged from IDR 200 to IDR 850,000 (Mean = IDR 13,771.98, Median = IDR 2,000). For service fulfillment calculations, 76 records lacking Tanggal_Dikirim due to cancellation were excluded, resulting in 941 valid fulfillment records.</w:t>
      </w:r>
    </w:p>
    <w:p>
      <w:pPr>
        <w:spacing w:before="160" w:after="60"/>
      </w:pPr>
      <w:r>
        <w:rPr>
          <w:b/>
          <w:sz w:val="21"/>
        </w:rPr>
        <w:t>3.4 Consumer Classification and Mathematical Formulation</w:t>
      </w:r>
    </w:p>
    <w:p>
      <w:pPr>
        <w:spacing w:after="120" w:line="276" w:lineRule="auto"/>
        <w:jc w:val="both"/>
      </w:pPr>
      <w:r>
        <w:rPr>
          <w:sz w:val="21"/>
        </w:rPr>
        <w:t>Consumers are classified strictly based on observed transaction counts. A one-time buyer is defined as a consumer with exactly one recorded transaction (F_i = 1), whereas a repeat buyer is defined as a consumer with two or more recorded transactions (F_i &gt;= 2). This classification reflects observed transaction frequency and avoids unmeasured claims regarding customer loyalty.</w:t>
      </w:r>
    </w:p>
    <w:p>
      <w:pPr>
        <w:spacing w:after="120" w:line="276" w:lineRule="auto"/>
        <w:jc w:val="both"/>
      </w:pPr>
      <w:r>
        <w:rPr>
          <w:sz w:val="21"/>
        </w:rPr>
        <w:t>The purchase frequency F_i for consumer i is formulated as:</w:t>
        <w:br/>
        <w:t>F_i = N_i</w:t>
        <w:br/>
        <w:t>where N_i denotes the total number of transactions executed by consumer i within the observation window.</w:t>
      </w:r>
    </w:p>
    <w:p>
      <w:pPr>
        <w:spacing w:after="120" w:line="276" w:lineRule="auto"/>
        <w:jc w:val="both"/>
      </w:pPr>
      <w:r>
        <w:rPr>
          <w:sz w:val="21"/>
        </w:rPr>
        <w:t>For repeat buyers (F_i &gt;= 2), transactions are ordered chronologically by payment timestamp. The inter-transaction interval I_{i,j} between consecutive transactions j and j-1 is defined as:</w:t>
        <w:br/>
        <w:t>I_{i,j} = T_{i,j} - T_{i,j-1}</w:t>
        <w:br/>
        <w:t>where T_{i,j} represents the payment timestamp of transaction j, and T_{i,j-1} represents the timestamp of the immediately preceding transaction. Intervals are measured in continuous calendar days and fractional hours.</w:t>
      </w:r>
    </w:p>
    <w:p>
      <w:pPr>
        <w:spacing w:before="240" w:after="80"/>
      </w:pPr>
      <w:r>
        <w:rPr>
          <w:b/>
          <w:sz w:val="23"/>
        </w:rPr>
        <w:t>4. RESULTS AND DISCUSSION</w:t>
      </w:r>
    </w:p>
    <w:p>
      <w:pPr>
        <w:spacing w:before="160" w:after="60"/>
      </w:pPr>
      <w:r>
        <w:rPr>
          <w:b/>
          <w:sz w:val="21"/>
        </w:rPr>
        <w:t>4.1 Transaction Overview and Fulfillment Characteristics</w:t>
      </w:r>
    </w:p>
    <w:p>
      <w:pPr>
        <w:spacing w:after="120" w:line="276" w:lineRule="auto"/>
        <w:jc w:val="both"/>
      </w:pPr>
      <w:r>
        <w:rPr>
          <w:sz w:val="21"/>
        </w:rPr>
        <w:t>Across the 94-day observation window, the 1,017 transactions generated an aggregate gross monetary value of IDR 14,006,100. Fulfillment time analysis (n = 941) indicates a mean fulfillment duration of 294.8 minutes (4.91 hours) and a median duration of 61.4 minutes (1.02 hours). A total of 50.48% of shipments required more than 1 hour, and 33.16% exceeded 6 hours, reflecting the manual in-game delivery model of peer-to-peer micro-merchants.</w:t>
      </w:r>
    </w:p>
    <w:p>
      <w:pPr>
        <w:spacing w:before="160" w:after="60"/>
      </w:pPr>
      <w:r>
        <w:rPr>
          <w:b/>
          <w:sz w:val="21"/>
        </w:rPr>
        <w:t>4.2 Comparative Analysis of One-Time and Repeat Buyers</w:t>
      </w:r>
    </w:p>
    <w:p>
      <w:pPr>
        <w:spacing w:after="120" w:line="276" w:lineRule="auto"/>
        <w:jc w:val="both"/>
      </w:pPr>
      <w:r>
        <w:rPr>
          <w:sz w:val="21"/>
        </w:rPr>
        <w:t>Table 2 provides an empirical comparison between one-time buyers and repeat buyers across consumer counts, transaction volumes, revenue contributions, transaction pricing, and service wait times.</w:t>
      </w:r>
    </w:p>
    <w:p>
      <w:pPr>
        <w:spacing w:before="120" w:after="60"/>
      </w:pPr>
      <w:r>
        <w:rPr>
          <w:b/>
          <w:sz w:val="20"/>
        </w:rPr>
        <w:t>Table 2. Empirical Comparison of One-Time and Repeat Buyers</w:t>
      </w:r>
    </w:p>
    <w:tbl>
      <w:tblPr>
        <w:tblW w:type="auto" w:w="0"/>
        <w:jc w:val="center"/>
        <w:tblLook w:firstColumn="1" w:firstRow="1" w:lastColumn="0" w:lastRow="0" w:noHBand="0" w:noVBand="1" w:val="04A0"/>
      </w:tblPr>
      <w:tblGrid>
        <w:gridCol w:w="2257"/>
        <w:gridCol w:w="2257"/>
        <w:gridCol w:w="2257"/>
        <w:gridCol w:w="2257"/>
      </w:tblGrid>
      <w:tr>
        <w:tc>
          <w:tcPr>
            <w:tcW w:type="dxa" w:w="2257"/>
            <w:vAlign w:val="center"/>
            <w:tcMar>
              <w:top w:w="120" w:type="dxa"/>
              <w:bottom w:w="120" w:type="dxa"/>
              <w:left w:w="180" w:type="dxa"/>
              <w:right w:w="180" w:type="dxa"/>
            </w:tcMar>
            <w:shd w:fill="E8EEF5"/>
          </w:tcPr>
          <w:p>
            <w:pPr>
              <w:spacing w:after="40"/>
            </w:pPr>
            <w:r>
              <w:rPr>
                <w:b/>
                <w:sz w:val="19"/>
              </w:rPr>
              <w:t>Metric Parameter</w:t>
            </w:r>
          </w:p>
        </w:tc>
        <w:tc>
          <w:tcPr>
            <w:tcW w:type="dxa" w:w="2257"/>
            <w:vAlign w:val="center"/>
            <w:tcMar>
              <w:top w:w="120" w:type="dxa"/>
              <w:bottom w:w="120" w:type="dxa"/>
              <w:left w:w="180" w:type="dxa"/>
              <w:right w:w="180" w:type="dxa"/>
            </w:tcMar>
            <w:shd w:fill="E8EEF5"/>
          </w:tcPr>
          <w:p>
            <w:pPr>
              <w:spacing w:after="40"/>
            </w:pPr>
            <w:r>
              <w:rPr>
                <w:b/>
                <w:sz w:val="19"/>
              </w:rPr>
              <w:t>One-Time Buyers (F = 1)</w:t>
            </w:r>
          </w:p>
        </w:tc>
        <w:tc>
          <w:tcPr>
            <w:tcW w:type="dxa" w:w="2257"/>
            <w:vAlign w:val="center"/>
            <w:tcMar>
              <w:top w:w="120" w:type="dxa"/>
              <w:bottom w:w="120" w:type="dxa"/>
              <w:left w:w="180" w:type="dxa"/>
              <w:right w:w="180" w:type="dxa"/>
            </w:tcMar>
            <w:shd w:fill="E8EEF5"/>
          </w:tcPr>
          <w:p>
            <w:pPr>
              <w:spacing w:after="40"/>
            </w:pPr>
            <w:r>
              <w:rPr>
                <w:b/>
                <w:sz w:val="19"/>
              </w:rPr>
              <w:t>Repeat Buyers (F &gt;= 2)</w:t>
            </w:r>
          </w:p>
        </w:tc>
        <w:tc>
          <w:tcPr>
            <w:tcW w:type="dxa" w:w="2257"/>
            <w:vAlign w:val="center"/>
            <w:tcMar>
              <w:top w:w="120" w:type="dxa"/>
              <w:bottom w:w="120" w:type="dxa"/>
              <w:left w:w="180" w:type="dxa"/>
              <w:right w:w="180" w:type="dxa"/>
            </w:tcMar>
            <w:shd w:fill="E8EEF5"/>
          </w:tcPr>
          <w:p>
            <w:pPr>
              <w:spacing w:after="40"/>
            </w:pPr>
            <w:r>
              <w:rPr>
                <w:b/>
                <w:sz w:val="19"/>
              </w:rPr>
              <w:t>Combined Total / Average</w:t>
            </w:r>
          </w:p>
        </w:tc>
      </w:tr>
      <w:tr>
        <w:tc>
          <w:tcPr>
            <w:tcW w:type="dxa" w:w="2257"/>
            <w:vAlign w:val="center"/>
            <w:tcMar>
              <w:top w:w="120" w:type="dxa"/>
              <w:bottom w:w="120" w:type="dxa"/>
              <w:left w:w="180" w:type="dxa"/>
              <w:right w:w="180" w:type="dxa"/>
            </w:tcMar>
          </w:tcPr>
          <w:p>
            <w:pPr>
              <w:spacing w:after="40"/>
            </w:pPr>
            <w:r>
              <w:rPr>
                <w:sz w:val="18"/>
              </w:rPr>
              <w:t>Number of Unique Consumers</w:t>
            </w:r>
          </w:p>
        </w:tc>
        <w:tc>
          <w:tcPr>
            <w:tcW w:type="dxa" w:w="2257"/>
            <w:vAlign w:val="center"/>
            <w:tcMar>
              <w:top w:w="120" w:type="dxa"/>
              <w:bottom w:w="120" w:type="dxa"/>
              <w:left w:w="180" w:type="dxa"/>
              <w:right w:w="180" w:type="dxa"/>
            </w:tcMar>
          </w:tcPr>
          <w:p>
            <w:pPr>
              <w:spacing w:after="40"/>
            </w:pPr>
            <w:r>
              <w:rPr>
                <w:sz w:val="18"/>
              </w:rPr>
              <w:t>91 (39.06%)</w:t>
            </w:r>
          </w:p>
        </w:tc>
        <w:tc>
          <w:tcPr>
            <w:tcW w:type="dxa" w:w="2257"/>
            <w:vAlign w:val="center"/>
            <w:tcMar>
              <w:top w:w="120" w:type="dxa"/>
              <w:bottom w:w="120" w:type="dxa"/>
              <w:left w:w="180" w:type="dxa"/>
              <w:right w:w="180" w:type="dxa"/>
            </w:tcMar>
          </w:tcPr>
          <w:p>
            <w:pPr>
              <w:spacing w:after="40"/>
            </w:pPr>
            <w:r>
              <w:rPr>
                <w:sz w:val="18"/>
              </w:rPr>
              <w:t>142 (60.94%)</w:t>
            </w:r>
          </w:p>
        </w:tc>
        <w:tc>
          <w:tcPr>
            <w:tcW w:type="dxa" w:w="2257"/>
            <w:vAlign w:val="center"/>
            <w:tcMar>
              <w:top w:w="120" w:type="dxa"/>
              <w:bottom w:w="120" w:type="dxa"/>
              <w:left w:w="180" w:type="dxa"/>
              <w:right w:w="180" w:type="dxa"/>
            </w:tcMar>
          </w:tcPr>
          <w:p>
            <w:pPr>
              <w:spacing w:after="40"/>
            </w:pPr>
            <w:r>
              <w:rPr>
                <w:sz w:val="18"/>
              </w:rPr>
              <w:t>233 Consumers (100%)</w:t>
            </w:r>
          </w:p>
        </w:tc>
      </w:tr>
      <w:tr>
        <w:tc>
          <w:tcPr>
            <w:tcW w:type="dxa" w:w="2257"/>
            <w:vAlign w:val="center"/>
            <w:tcMar>
              <w:top w:w="120" w:type="dxa"/>
              <w:bottom w:w="120" w:type="dxa"/>
              <w:left w:w="180" w:type="dxa"/>
              <w:right w:w="180" w:type="dxa"/>
            </w:tcMar>
          </w:tcPr>
          <w:p>
            <w:pPr>
              <w:spacing w:after="40"/>
            </w:pPr>
            <w:r>
              <w:rPr>
                <w:sz w:val="18"/>
              </w:rPr>
              <w:t>Total Transaction Volume (Orders)</w:t>
            </w:r>
          </w:p>
        </w:tc>
        <w:tc>
          <w:tcPr>
            <w:tcW w:type="dxa" w:w="2257"/>
            <w:vAlign w:val="center"/>
            <w:tcMar>
              <w:top w:w="120" w:type="dxa"/>
              <w:bottom w:w="120" w:type="dxa"/>
              <w:left w:w="180" w:type="dxa"/>
              <w:right w:w="180" w:type="dxa"/>
            </w:tcMar>
          </w:tcPr>
          <w:p>
            <w:pPr>
              <w:spacing w:after="40"/>
            </w:pPr>
            <w:r>
              <w:rPr>
                <w:sz w:val="18"/>
              </w:rPr>
              <w:t>91 (8.95%)</w:t>
            </w:r>
          </w:p>
        </w:tc>
        <w:tc>
          <w:tcPr>
            <w:tcW w:type="dxa" w:w="2257"/>
            <w:vAlign w:val="center"/>
            <w:tcMar>
              <w:top w:w="120" w:type="dxa"/>
              <w:bottom w:w="120" w:type="dxa"/>
              <w:left w:w="180" w:type="dxa"/>
              <w:right w:w="180" w:type="dxa"/>
            </w:tcMar>
          </w:tcPr>
          <w:p>
            <w:pPr>
              <w:spacing w:after="40"/>
            </w:pPr>
            <w:r>
              <w:rPr>
                <w:sz w:val="18"/>
              </w:rPr>
              <w:t>926 (91.05%)</w:t>
            </w:r>
          </w:p>
        </w:tc>
        <w:tc>
          <w:tcPr>
            <w:tcW w:type="dxa" w:w="2257"/>
            <w:vAlign w:val="center"/>
            <w:tcMar>
              <w:top w:w="120" w:type="dxa"/>
              <w:bottom w:w="120" w:type="dxa"/>
              <w:left w:w="180" w:type="dxa"/>
              <w:right w:w="180" w:type="dxa"/>
            </w:tcMar>
          </w:tcPr>
          <w:p>
            <w:pPr>
              <w:spacing w:after="40"/>
            </w:pPr>
            <w:r>
              <w:rPr>
                <w:sz w:val="18"/>
              </w:rPr>
              <w:t>1,017 Orders (100%)</w:t>
            </w:r>
          </w:p>
        </w:tc>
      </w:tr>
      <w:tr>
        <w:tc>
          <w:tcPr>
            <w:tcW w:type="dxa" w:w="2257"/>
            <w:vAlign w:val="center"/>
            <w:tcMar>
              <w:top w:w="120" w:type="dxa"/>
              <w:bottom w:w="120" w:type="dxa"/>
              <w:left w:w="180" w:type="dxa"/>
              <w:right w:w="180" w:type="dxa"/>
            </w:tcMar>
          </w:tcPr>
          <w:p>
            <w:pPr>
              <w:spacing w:after="40"/>
            </w:pPr>
            <w:r>
              <w:rPr>
                <w:sz w:val="18"/>
              </w:rPr>
              <w:t>Gross Revenue Contribution (IDR)</w:t>
            </w:r>
          </w:p>
        </w:tc>
        <w:tc>
          <w:tcPr>
            <w:tcW w:type="dxa" w:w="2257"/>
            <w:vAlign w:val="center"/>
            <w:tcMar>
              <w:top w:w="120" w:type="dxa"/>
              <w:bottom w:w="120" w:type="dxa"/>
              <w:left w:w="180" w:type="dxa"/>
              <w:right w:w="180" w:type="dxa"/>
            </w:tcMar>
          </w:tcPr>
          <w:p>
            <w:pPr>
              <w:spacing w:after="40"/>
            </w:pPr>
            <w:r>
              <w:rPr>
                <w:sz w:val="18"/>
              </w:rPr>
              <w:t>IDR 1,034,300 (7.38%)</w:t>
            </w:r>
          </w:p>
        </w:tc>
        <w:tc>
          <w:tcPr>
            <w:tcW w:type="dxa" w:w="2257"/>
            <w:vAlign w:val="center"/>
            <w:tcMar>
              <w:top w:w="120" w:type="dxa"/>
              <w:bottom w:w="120" w:type="dxa"/>
              <w:left w:w="180" w:type="dxa"/>
              <w:right w:w="180" w:type="dxa"/>
            </w:tcMar>
          </w:tcPr>
          <w:p>
            <w:pPr>
              <w:spacing w:after="40"/>
            </w:pPr>
            <w:r>
              <w:rPr>
                <w:sz w:val="18"/>
              </w:rPr>
              <w:t>IDR 12,971,800 (92.62%)</w:t>
            </w:r>
          </w:p>
        </w:tc>
        <w:tc>
          <w:tcPr>
            <w:tcW w:type="dxa" w:w="2257"/>
            <w:vAlign w:val="center"/>
            <w:tcMar>
              <w:top w:w="120" w:type="dxa"/>
              <w:bottom w:w="120" w:type="dxa"/>
              <w:left w:w="180" w:type="dxa"/>
              <w:right w:w="180" w:type="dxa"/>
            </w:tcMar>
          </w:tcPr>
          <w:p>
            <w:pPr>
              <w:spacing w:after="40"/>
            </w:pPr>
            <w:r>
              <w:rPr>
                <w:sz w:val="18"/>
              </w:rPr>
              <w:t>IDR 14,006,100 (100%)</w:t>
            </w:r>
          </w:p>
        </w:tc>
      </w:tr>
      <w:tr>
        <w:tc>
          <w:tcPr>
            <w:tcW w:type="dxa" w:w="2257"/>
            <w:vAlign w:val="center"/>
            <w:tcMar>
              <w:top w:w="120" w:type="dxa"/>
              <w:bottom w:w="120" w:type="dxa"/>
              <w:left w:w="180" w:type="dxa"/>
              <w:right w:w="180" w:type="dxa"/>
            </w:tcMar>
          </w:tcPr>
          <w:p>
            <w:pPr>
              <w:spacing w:after="40"/>
            </w:pPr>
            <w:r>
              <w:rPr>
                <w:sz w:val="18"/>
              </w:rPr>
              <w:t>Mean Transaction Value (Harga Jual)</w:t>
            </w:r>
          </w:p>
        </w:tc>
        <w:tc>
          <w:tcPr>
            <w:tcW w:type="dxa" w:w="2257"/>
            <w:vAlign w:val="center"/>
            <w:tcMar>
              <w:top w:w="120" w:type="dxa"/>
              <w:bottom w:w="120" w:type="dxa"/>
              <w:left w:w="180" w:type="dxa"/>
              <w:right w:w="180" w:type="dxa"/>
            </w:tcMar>
          </w:tcPr>
          <w:p>
            <w:pPr>
              <w:spacing w:after="40"/>
            </w:pPr>
            <w:r>
              <w:rPr>
                <w:sz w:val="18"/>
              </w:rPr>
              <w:t>IDR 11,365.93</w:t>
            </w:r>
          </w:p>
        </w:tc>
        <w:tc>
          <w:tcPr>
            <w:tcW w:type="dxa" w:w="2257"/>
            <w:vAlign w:val="center"/>
            <w:tcMar>
              <w:top w:w="120" w:type="dxa"/>
              <w:bottom w:w="120" w:type="dxa"/>
              <w:left w:w="180" w:type="dxa"/>
              <w:right w:w="180" w:type="dxa"/>
            </w:tcMar>
          </w:tcPr>
          <w:p>
            <w:pPr>
              <w:spacing w:after="40"/>
            </w:pPr>
            <w:r>
              <w:rPr>
                <w:sz w:val="18"/>
              </w:rPr>
              <w:t>IDR 7,881.13</w:t>
            </w:r>
          </w:p>
        </w:tc>
        <w:tc>
          <w:tcPr>
            <w:tcW w:type="dxa" w:w="2257"/>
            <w:vAlign w:val="center"/>
            <w:tcMar>
              <w:top w:w="120" w:type="dxa"/>
              <w:bottom w:w="120" w:type="dxa"/>
              <w:left w:w="180" w:type="dxa"/>
              <w:right w:w="180" w:type="dxa"/>
            </w:tcMar>
          </w:tcPr>
          <w:p>
            <w:pPr>
              <w:spacing w:after="40"/>
            </w:pPr>
            <w:r>
              <w:rPr>
                <w:sz w:val="18"/>
              </w:rPr>
              <w:t>IDR 8,194.22</w:t>
            </w:r>
          </w:p>
        </w:tc>
      </w:tr>
      <w:tr>
        <w:tc>
          <w:tcPr>
            <w:tcW w:type="dxa" w:w="2257"/>
            <w:vAlign w:val="center"/>
            <w:tcMar>
              <w:top w:w="120" w:type="dxa"/>
              <w:bottom w:w="120" w:type="dxa"/>
              <w:left w:w="180" w:type="dxa"/>
              <w:right w:w="180" w:type="dxa"/>
            </w:tcMar>
          </w:tcPr>
          <w:p>
            <w:pPr>
              <w:spacing w:after="40"/>
            </w:pPr>
            <w:r>
              <w:rPr>
                <w:sz w:val="18"/>
              </w:rPr>
              <w:t>Median Transaction Value (Harga Jual)</w:t>
            </w:r>
          </w:p>
        </w:tc>
        <w:tc>
          <w:tcPr>
            <w:tcW w:type="dxa" w:w="2257"/>
            <w:vAlign w:val="center"/>
            <w:tcMar>
              <w:top w:w="120" w:type="dxa"/>
              <w:bottom w:w="120" w:type="dxa"/>
              <w:left w:w="180" w:type="dxa"/>
              <w:right w:w="180" w:type="dxa"/>
            </w:tcMar>
          </w:tcPr>
          <w:p>
            <w:pPr>
              <w:spacing w:after="40"/>
            </w:pPr>
            <w:r>
              <w:rPr>
                <w:sz w:val="18"/>
              </w:rPr>
              <w:t>IDR 1,000.00</w:t>
            </w:r>
          </w:p>
        </w:tc>
        <w:tc>
          <w:tcPr>
            <w:tcW w:type="dxa" w:w="2257"/>
            <w:vAlign w:val="center"/>
            <w:tcMar>
              <w:top w:w="120" w:type="dxa"/>
              <w:bottom w:w="120" w:type="dxa"/>
              <w:left w:w="180" w:type="dxa"/>
              <w:right w:w="180" w:type="dxa"/>
            </w:tcMar>
          </w:tcPr>
          <w:p>
            <w:pPr>
              <w:spacing w:after="40"/>
            </w:pPr>
            <w:r>
              <w:rPr>
                <w:sz w:val="18"/>
              </w:rPr>
              <w:t>IDR 1,450.00</w:t>
            </w:r>
          </w:p>
        </w:tc>
        <w:tc>
          <w:tcPr>
            <w:tcW w:type="dxa" w:w="2257"/>
            <w:vAlign w:val="center"/>
            <w:tcMar>
              <w:top w:w="120" w:type="dxa"/>
              <w:bottom w:w="120" w:type="dxa"/>
              <w:left w:w="180" w:type="dxa"/>
              <w:right w:w="180" w:type="dxa"/>
            </w:tcMar>
          </w:tcPr>
          <w:p>
            <w:pPr>
              <w:spacing w:after="40"/>
            </w:pPr>
            <w:r>
              <w:rPr>
                <w:sz w:val="18"/>
              </w:rPr>
              <w:t>IDR 1,400.00</w:t>
            </w:r>
          </w:p>
        </w:tc>
      </w:tr>
      <w:tr>
        <w:tc>
          <w:tcPr>
            <w:tcW w:type="dxa" w:w="2257"/>
            <w:vAlign w:val="center"/>
            <w:tcMar>
              <w:top w:w="120" w:type="dxa"/>
              <w:bottom w:w="120" w:type="dxa"/>
              <w:left w:w="180" w:type="dxa"/>
              <w:right w:w="180" w:type="dxa"/>
            </w:tcMar>
          </w:tcPr>
          <w:p>
            <w:pPr>
              <w:spacing w:after="40"/>
            </w:pPr>
            <w:r>
              <w:rPr>
                <w:sz w:val="18"/>
              </w:rPr>
              <w:t>Mean Fulfillment Wait Time</w:t>
            </w:r>
          </w:p>
        </w:tc>
        <w:tc>
          <w:tcPr>
            <w:tcW w:type="dxa" w:w="2257"/>
            <w:vAlign w:val="center"/>
            <w:tcMar>
              <w:top w:w="120" w:type="dxa"/>
              <w:bottom w:w="120" w:type="dxa"/>
              <w:left w:w="180" w:type="dxa"/>
              <w:right w:w="180" w:type="dxa"/>
            </w:tcMar>
          </w:tcPr>
          <w:p>
            <w:pPr>
              <w:spacing w:after="40"/>
            </w:pPr>
            <w:r>
              <w:rPr>
                <w:sz w:val="18"/>
              </w:rPr>
              <w:t>233.91 Minutes (~3.90 Hours)</w:t>
            </w:r>
          </w:p>
        </w:tc>
        <w:tc>
          <w:tcPr>
            <w:tcW w:type="dxa" w:w="2257"/>
            <w:vAlign w:val="center"/>
            <w:tcMar>
              <w:top w:w="120" w:type="dxa"/>
              <w:bottom w:w="120" w:type="dxa"/>
              <w:left w:w="180" w:type="dxa"/>
              <w:right w:w="180" w:type="dxa"/>
            </w:tcMar>
          </w:tcPr>
          <w:p>
            <w:pPr>
              <w:spacing w:after="40"/>
            </w:pPr>
            <w:r>
              <w:rPr>
                <w:sz w:val="18"/>
              </w:rPr>
              <w:t>214.17 Minutes (~3.57 Hours)</w:t>
            </w:r>
          </w:p>
        </w:tc>
        <w:tc>
          <w:tcPr>
            <w:tcW w:type="dxa" w:w="2257"/>
            <w:vAlign w:val="center"/>
            <w:tcMar>
              <w:top w:w="120" w:type="dxa"/>
              <w:bottom w:w="120" w:type="dxa"/>
              <w:left w:w="180" w:type="dxa"/>
              <w:right w:w="180" w:type="dxa"/>
            </w:tcMar>
          </w:tcPr>
          <w:p>
            <w:pPr>
              <w:spacing w:after="40"/>
            </w:pPr>
            <w:r>
              <w:rPr>
                <w:sz w:val="18"/>
              </w:rPr>
              <w:t>215.91 Minutes</w:t>
            </w:r>
          </w:p>
        </w:tc>
      </w:tr>
    </w:tbl>
    <w:p>
      <w:pPr>
        <w:spacing w:after="120" w:line="276" w:lineRule="auto"/>
        <w:jc w:val="both"/>
      </w:pPr>
      <w:r>
        <w:rPr>
          <w:sz w:val="21"/>
        </w:rPr>
        <w:t>As detailed in Table 2, repeat buyers represent 60.94% of the unique consumer base (142 of 233 consumers) but generate 91.05% of total orders (926 transactions) and 92.62% of gross revenue (IDR 12.97 Million). This demonstrates an extreme Pareto concentration where business survival is almost entirely sustained by repeat transactions. Furthermore, repeat buyers exhibited a lower mean transaction value (IDR 7,881.13) compared to one-time buyers (IDR 11,365.93), indicating an incremental micro-purchasing strategy.</w:t>
      </w:r>
    </w:p>
    <w:p>
      <w:pPr>
        <w:spacing w:before="160" w:after="60"/>
      </w:pPr>
      <w:r>
        <w:rPr>
          <w:b/>
          <w:sz w:val="21"/>
        </w:rPr>
        <w:t>4.3 Purchase Frequency Distribution</w:t>
      </w:r>
    </w:p>
    <w:p>
      <w:pPr>
        <w:spacing w:after="120" w:line="276" w:lineRule="auto"/>
        <w:jc w:val="both"/>
      </w:pPr>
      <w:r>
        <w:rPr>
          <w:sz w:val="21"/>
        </w:rPr>
        <w:t>Among repeat buyers, the mean purchase frequency was 6.52 transactions per consumer. Table 3 presents the distribution of consumers stratified by transaction frequency tiers.</w:t>
      </w:r>
    </w:p>
    <w:p>
      <w:pPr>
        <w:spacing w:before="120" w:after="60"/>
      </w:pPr>
      <w:r>
        <w:rPr>
          <w:b/>
          <w:sz w:val="20"/>
        </w:rPr>
        <w:t>Table 3. Distribution of Consumers by Purchase Frequency Tier</w:t>
      </w:r>
    </w:p>
    <w:tbl>
      <w:tblPr>
        <w:tblW w:type="auto" w:w="0"/>
        <w:jc w:val="center"/>
        <w:tblLook w:firstColumn="1" w:firstRow="1" w:lastColumn="0" w:lastRow="0" w:noHBand="0" w:noVBand="1" w:val="04A0"/>
      </w:tblPr>
      <w:tblGrid>
        <w:gridCol w:w="2257"/>
        <w:gridCol w:w="2257"/>
        <w:gridCol w:w="2257"/>
        <w:gridCol w:w="2257"/>
      </w:tblGrid>
      <w:tr>
        <w:tc>
          <w:tcPr>
            <w:tcW w:type="dxa" w:w="2257"/>
            <w:vAlign w:val="center"/>
            <w:tcMar>
              <w:top w:w="120" w:type="dxa"/>
              <w:bottom w:w="120" w:type="dxa"/>
              <w:left w:w="180" w:type="dxa"/>
              <w:right w:w="180" w:type="dxa"/>
            </w:tcMar>
            <w:shd w:fill="E8EEF5"/>
          </w:tcPr>
          <w:p>
            <w:pPr>
              <w:spacing w:after="40"/>
            </w:pPr>
            <w:r>
              <w:rPr>
                <w:b/>
                <w:sz w:val="19"/>
              </w:rPr>
              <w:t>Frequency Tier (Transactions)</w:t>
            </w:r>
          </w:p>
        </w:tc>
        <w:tc>
          <w:tcPr>
            <w:tcW w:type="dxa" w:w="2257"/>
            <w:vAlign w:val="center"/>
            <w:tcMar>
              <w:top w:w="120" w:type="dxa"/>
              <w:bottom w:w="120" w:type="dxa"/>
              <w:left w:w="180" w:type="dxa"/>
              <w:right w:w="180" w:type="dxa"/>
            </w:tcMar>
            <w:shd w:fill="E8EEF5"/>
          </w:tcPr>
          <w:p>
            <w:pPr>
              <w:spacing w:after="40"/>
            </w:pPr>
            <w:r>
              <w:rPr>
                <w:b/>
                <w:sz w:val="19"/>
              </w:rPr>
              <w:t>Number of Consumers</w:t>
            </w:r>
          </w:p>
        </w:tc>
        <w:tc>
          <w:tcPr>
            <w:tcW w:type="dxa" w:w="2257"/>
            <w:vAlign w:val="center"/>
            <w:tcMar>
              <w:top w:w="120" w:type="dxa"/>
              <w:bottom w:w="120" w:type="dxa"/>
              <w:left w:w="180" w:type="dxa"/>
              <w:right w:w="180" w:type="dxa"/>
            </w:tcMar>
            <w:shd w:fill="E8EEF5"/>
          </w:tcPr>
          <w:p>
            <w:pPr>
              <w:spacing w:after="40"/>
            </w:pPr>
            <w:r>
              <w:rPr>
                <w:b/>
                <w:sz w:val="19"/>
              </w:rPr>
              <w:t>Percentage of Consumers</w:t>
            </w:r>
          </w:p>
        </w:tc>
        <w:tc>
          <w:tcPr>
            <w:tcW w:type="dxa" w:w="2257"/>
            <w:vAlign w:val="center"/>
            <w:tcMar>
              <w:top w:w="120" w:type="dxa"/>
              <w:bottom w:w="120" w:type="dxa"/>
              <w:left w:w="180" w:type="dxa"/>
              <w:right w:w="180" w:type="dxa"/>
            </w:tcMar>
            <w:shd w:fill="E8EEF5"/>
          </w:tcPr>
          <w:p>
            <w:pPr>
              <w:spacing w:after="40"/>
            </w:pPr>
            <w:r>
              <w:rPr>
                <w:b/>
                <w:sz w:val="19"/>
              </w:rPr>
              <w:t>Cumulative Orders Generated</w:t>
            </w:r>
          </w:p>
        </w:tc>
      </w:tr>
      <w:tr>
        <w:tc>
          <w:tcPr>
            <w:tcW w:type="dxa" w:w="2257"/>
            <w:vAlign w:val="center"/>
            <w:tcMar>
              <w:top w:w="120" w:type="dxa"/>
              <w:bottom w:w="120" w:type="dxa"/>
              <w:left w:w="180" w:type="dxa"/>
              <w:right w:w="180" w:type="dxa"/>
            </w:tcMar>
          </w:tcPr>
          <w:p>
            <w:pPr>
              <w:spacing w:after="40"/>
            </w:pPr>
            <w:r>
              <w:rPr>
                <w:sz w:val="18"/>
              </w:rPr>
              <w:t>1 Transaction (One-time)</w:t>
            </w:r>
          </w:p>
        </w:tc>
        <w:tc>
          <w:tcPr>
            <w:tcW w:type="dxa" w:w="2257"/>
            <w:vAlign w:val="center"/>
            <w:tcMar>
              <w:top w:w="120" w:type="dxa"/>
              <w:bottom w:w="120" w:type="dxa"/>
              <w:left w:w="180" w:type="dxa"/>
              <w:right w:w="180" w:type="dxa"/>
            </w:tcMar>
          </w:tcPr>
          <w:p>
            <w:pPr>
              <w:spacing w:after="40"/>
            </w:pPr>
            <w:r>
              <w:rPr>
                <w:sz w:val="18"/>
              </w:rPr>
              <w:t>91</w:t>
            </w:r>
          </w:p>
        </w:tc>
        <w:tc>
          <w:tcPr>
            <w:tcW w:type="dxa" w:w="2257"/>
            <w:vAlign w:val="center"/>
            <w:tcMar>
              <w:top w:w="120" w:type="dxa"/>
              <w:bottom w:w="120" w:type="dxa"/>
              <w:left w:w="180" w:type="dxa"/>
              <w:right w:w="180" w:type="dxa"/>
            </w:tcMar>
          </w:tcPr>
          <w:p>
            <w:pPr>
              <w:spacing w:after="40"/>
            </w:pPr>
            <w:r>
              <w:rPr>
                <w:sz w:val="18"/>
              </w:rPr>
              <w:t>39.06%</w:t>
            </w:r>
          </w:p>
        </w:tc>
        <w:tc>
          <w:tcPr>
            <w:tcW w:type="dxa" w:w="2257"/>
            <w:vAlign w:val="center"/>
            <w:tcMar>
              <w:top w:w="120" w:type="dxa"/>
              <w:bottom w:w="120" w:type="dxa"/>
              <w:left w:w="180" w:type="dxa"/>
              <w:right w:w="180" w:type="dxa"/>
            </w:tcMar>
          </w:tcPr>
          <w:p>
            <w:pPr>
              <w:spacing w:after="40"/>
            </w:pPr>
            <w:r>
              <w:rPr>
                <w:sz w:val="18"/>
              </w:rPr>
              <w:t>91 Orders</w:t>
            </w:r>
          </w:p>
        </w:tc>
      </w:tr>
      <w:tr>
        <w:tc>
          <w:tcPr>
            <w:tcW w:type="dxa" w:w="2257"/>
            <w:vAlign w:val="center"/>
            <w:tcMar>
              <w:top w:w="120" w:type="dxa"/>
              <w:bottom w:w="120" w:type="dxa"/>
              <w:left w:w="180" w:type="dxa"/>
              <w:right w:w="180" w:type="dxa"/>
            </w:tcMar>
          </w:tcPr>
          <w:p>
            <w:pPr>
              <w:spacing w:after="40"/>
            </w:pPr>
            <w:r>
              <w:rPr>
                <w:sz w:val="18"/>
              </w:rPr>
              <w:t>2 - 5 Transactions</w:t>
            </w:r>
          </w:p>
        </w:tc>
        <w:tc>
          <w:tcPr>
            <w:tcW w:type="dxa" w:w="2257"/>
            <w:vAlign w:val="center"/>
            <w:tcMar>
              <w:top w:w="120" w:type="dxa"/>
              <w:bottom w:w="120" w:type="dxa"/>
              <w:left w:w="180" w:type="dxa"/>
              <w:right w:w="180" w:type="dxa"/>
            </w:tcMar>
          </w:tcPr>
          <w:p>
            <w:pPr>
              <w:spacing w:after="40"/>
            </w:pPr>
            <w:r>
              <w:rPr>
                <w:sz w:val="18"/>
              </w:rPr>
              <w:t>93</w:t>
            </w:r>
          </w:p>
        </w:tc>
        <w:tc>
          <w:tcPr>
            <w:tcW w:type="dxa" w:w="2257"/>
            <w:vAlign w:val="center"/>
            <w:tcMar>
              <w:top w:w="120" w:type="dxa"/>
              <w:bottom w:w="120" w:type="dxa"/>
              <w:left w:w="180" w:type="dxa"/>
              <w:right w:w="180" w:type="dxa"/>
            </w:tcMar>
          </w:tcPr>
          <w:p>
            <w:pPr>
              <w:spacing w:after="40"/>
            </w:pPr>
            <w:r>
              <w:rPr>
                <w:sz w:val="18"/>
              </w:rPr>
              <w:t>39.91%</w:t>
            </w:r>
          </w:p>
        </w:tc>
        <w:tc>
          <w:tcPr>
            <w:tcW w:type="dxa" w:w="2257"/>
            <w:vAlign w:val="center"/>
            <w:tcMar>
              <w:top w:w="120" w:type="dxa"/>
              <w:bottom w:w="120" w:type="dxa"/>
              <w:left w:w="180" w:type="dxa"/>
              <w:right w:w="180" w:type="dxa"/>
            </w:tcMar>
          </w:tcPr>
          <w:p>
            <w:pPr>
              <w:spacing w:after="40"/>
            </w:pPr>
            <w:r>
              <w:rPr>
                <w:sz w:val="18"/>
              </w:rPr>
              <w:t>287 Orders</w:t>
            </w:r>
          </w:p>
        </w:tc>
      </w:tr>
      <w:tr>
        <w:tc>
          <w:tcPr>
            <w:tcW w:type="dxa" w:w="2257"/>
            <w:vAlign w:val="center"/>
            <w:tcMar>
              <w:top w:w="120" w:type="dxa"/>
              <w:bottom w:w="120" w:type="dxa"/>
              <w:left w:w="180" w:type="dxa"/>
              <w:right w:w="180" w:type="dxa"/>
            </w:tcMar>
          </w:tcPr>
          <w:p>
            <w:pPr>
              <w:spacing w:after="40"/>
            </w:pPr>
            <w:r>
              <w:rPr>
                <w:sz w:val="18"/>
              </w:rPr>
              <w:t>6 - 15 Transactions</w:t>
            </w:r>
          </w:p>
        </w:tc>
        <w:tc>
          <w:tcPr>
            <w:tcW w:type="dxa" w:w="2257"/>
            <w:vAlign w:val="center"/>
            <w:tcMar>
              <w:top w:w="120" w:type="dxa"/>
              <w:bottom w:w="120" w:type="dxa"/>
              <w:left w:w="180" w:type="dxa"/>
              <w:right w:w="180" w:type="dxa"/>
            </w:tcMar>
          </w:tcPr>
          <w:p>
            <w:pPr>
              <w:spacing w:after="40"/>
            </w:pPr>
            <w:r>
              <w:rPr>
                <w:sz w:val="18"/>
              </w:rPr>
              <w:t>35</w:t>
            </w:r>
          </w:p>
        </w:tc>
        <w:tc>
          <w:tcPr>
            <w:tcW w:type="dxa" w:w="2257"/>
            <w:vAlign w:val="center"/>
            <w:tcMar>
              <w:top w:w="120" w:type="dxa"/>
              <w:bottom w:w="120" w:type="dxa"/>
              <w:left w:w="180" w:type="dxa"/>
              <w:right w:w="180" w:type="dxa"/>
            </w:tcMar>
          </w:tcPr>
          <w:p>
            <w:pPr>
              <w:spacing w:after="40"/>
            </w:pPr>
            <w:r>
              <w:rPr>
                <w:sz w:val="18"/>
              </w:rPr>
              <w:t>15.02%</w:t>
            </w:r>
          </w:p>
        </w:tc>
        <w:tc>
          <w:tcPr>
            <w:tcW w:type="dxa" w:w="2257"/>
            <w:vAlign w:val="center"/>
            <w:tcMar>
              <w:top w:w="120" w:type="dxa"/>
              <w:bottom w:w="120" w:type="dxa"/>
              <w:left w:w="180" w:type="dxa"/>
              <w:right w:w="180" w:type="dxa"/>
            </w:tcMar>
          </w:tcPr>
          <w:p>
            <w:pPr>
              <w:spacing w:after="40"/>
            </w:pPr>
            <w:r>
              <w:rPr>
                <w:sz w:val="18"/>
              </w:rPr>
              <w:t>314 Orders</w:t>
            </w:r>
          </w:p>
        </w:tc>
      </w:tr>
      <w:tr>
        <w:tc>
          <w:tcPr>
            <w:tcW w:type="dxa" w:w="2257"/>
            <w:vAlign w:val="center"/>
            <w:tcMar>
              <w:top w:w="120" w:type="dxa"/>
              <w:bottom w:w="120" w:type="dxa"/>
              <w:left w:w="180" w:type="dxa"/>
              <w:right w:w="180" w:type="dxa"/>
            </w:tcMar>
          </w:tcPr>
          <w:p>
            <w:pPr>
              <w:spacing w:after="40"/>
            </w:pPr>
            <w:r>
              <w:rPr>
                <w:sz w:val="18"/>
              </w:rPr>
              <w:t>16 - 50 Transactions</w:t>
            </w:r>
          </w:p>
        </w:tc>
        <w:tc>
          <w:tcPr>
            <w:tcW w:type="dxa" w:w="2257"/>
            <w:vAlign w:val="center"/>
            <w:tcMar>
              <w:top w:w="120" w:type="dxa"/>
              <w:bottom w:w="120" w:type="dxa"/>
              <w:left w:w="180" w:type="dxa"/>
              <w:right w:w="180" w:type="dxa"/>
            </w:tcMar>
          </w:tcPr>
          <w:p>
            <w:pPr>
              <w:spacing w:after="40"/>
            </w:pPr>
            <w:r>
              <w:rPr>
                <w:sz w:val="18"/>
              </w:rPr>
              <w:t>13</w:t>
            </w:r>
          </w:p>
        </w:tc>
        <w:tc>
          <w:tcPr>
            <w:tcW w:type="dxa" w:w="2257"/>
            <w:vAlign w:val="center"/>
            <w:tcMar>
              <w:top w:w="120" w:type="dxa"/>
              <w:bottom w:w="120" w:type="dxa"/>
              <w:left w:w="180" w:type="dxa"/>
              <w:right w:w="180" w:type="dxa"/>
            </w:tcMar>
          </w:tcPr>
          <w:p>
            <w:pPr>
              <w:spacing w:after="40"/>
            </w:pPr>
            <w:r>
              <w:rPr>
                <w:sz w:val="18"/>
              </w:rPr>
              <w:t>5.58%</w:t>
            </w:r>
          </w:p>
        </w:tc>
        <w:tc>
          <w:tcPr>
            <w:tcW w:type="dxa" w:w="2257"/>
            <w:vAlign w:val="center"/>
            <w:tcMar>
              <w:top w:w="120" w:type="dxa"/>
              <w:bottom w:w="120" w:type="dxa"/>
              <w:left w:w="180" w:type="dxa"/>
              <w:right w:w="180" w:type="dxa"/>
            </w:tcMar>
          </w:tcPr>
          <w:p>
            <w:pPr>
              <w:spacing w:after="40"/>
            </w:pPr>
            <w:r>
              <w:rPr>
                <w:sz w:val="18"/>
              </w:rPr>
              <w:t>423 Orders</w:t>
            </w:r>
          </w:p>
        </w:tc>
      </w:tr>
      <w:tr>
        <w:tc>
          <w:tcPr>
            <w:tcW w:type="dxa" w:w="2257"/>
            <w:vAlign w:val="center"/>
            <w:tcMar>
              <w:top w:w="120" w:type="dxa"/>
              <w:bottom w:w="120" w:type="dxa"/>
              <w:left w:w="180" w:type="dxa"/>
              <w:right w:w="180" w:type="dxa"/>
            </w:tcMar>
          </w:tcPr>
          <w:p>
            <w:pPr>
              <w:spacing w:after="40"/>
            </w:pPr>
            <w:r>
              <w:rPr>
                <w:sz w:val="18"/>
              </w:rPr>
              <w:t>&gt; 50 Transactions (Extreme power)</w:t>
            </w:r>
          </w:p>
        </w:tc>
        <w:tc>
          <w:tcPr>
            <w:tcW w:type="dxa" w:w="2257"/>
            <w:vAlign w:val="center"/>
            <w:tcMar>
              <w:top w:w="120" w:type="dxa"/>
              <w:bottom w:w="120" w:type="dxa"/>
              <w:left w:w="180" w:type="dxa"/>
              <w:right w:w="180" w:type="dxa"/>
            </w:tcMar>
          </w:tcPr>
          <w:p>
            <w:pPr>
              <w:spacing w:after="40"/>
            </w:pPr>
            <w:r>
              <w:rPr>
                <w:sz w:val="18"/>
              </w:rPr>
              <w:t>1</w:t>
            </w:r>
          </w:p>
        </w:tc>
        <w:tc>
          <w:tcPr>
            <w:tcW w:type="dxa" w:w="2257"/>
            <w:vAlign w:val="center"/>
            <w:tcMar>
              <w:top w:w="120" w:type="dxa"/>
              <w:bottom w:w="120" w:type="dxa"/>
              <w:left w:w="180" w:type="dxa"/>
              <w:right w:w="180" w:type="dxa"/>
            </w:tcMar>
          </w:tcPr>
          <w:p>
            <w:pPr>
              <w:spacing w:after="40"/>
            </w:pPr>
            <w:r>
              <w:rPr>
                <w:sz w:val="18"/>
              </w:rPr>
              <w:t>0.43%</w:t>
            </w:r>
          </w:p>
        </w:tc>
        <w:tc>
          <w:tcPr>
            <w:tcW w:type="dxa" w:w="2257"/>
            <w:vAlign w:val="center"/>
            <w:tcMar>
              <w:top w:w="120" w:type="dxa"/>
              <w:bottom w:w="120" w:type="dxa"/>
              <w:left w:w="180" w:type="dxa"/>
              <w:right w:w="180" w:type="dxa"/>
            </w:tcMar>
          </w:tcPr>
          <w:p>
            <w:pPr>
              <w:spacing w:after="40"/>
            </w:pPr>
            <w:r>
              <w:rPr>
                <w:sz w:val="18"/>
              </w:rPr>
              <w:t>102 Orders</w:t>
            </w:r>
          </w:p>
        </w:tc>
      </w:tr>
    </w:tbl>
    <w:p>
      <w:pPr>
        <w:spacing w:after="120" w:line="276" w:lineRule="auto"/>
        <w:jc w:val="both"/>
      </w:pPr>
      <w:r>
        <w:rPr>
          <w:sz w:val="21"/>
        </w:rPr>
        <w:t>Table 3 shows that while 39.91% of consumers fall into the 2-5 transaction tier, a highly active subgroup of 14 consumers (6.01% of the total) executed more than 15 transactions, generating 525 orders (51.62% of all marketplace orders). The maximum recorded individual frequency reached 102 transactions by a single consumer (Sam Shears), generating IDR 4,197,500 in total expenditure.</w:t>
      </w:r>
    </w:p>
    <w:p>
      <w:pPr>
        <w:spacing w:before="160" w:after="60"/>
      </w:pPr>
      <w:r>
        <w:rPr>
          <w:b/>
          <w:sz w:val="21"/>
        </w:rPr>
        <w:t>4.4 Inter-Transaction Interval Distribution</w:t>
      </w:r>
    </w:p>
    <w:p>
      <w:pPr>
        <w:spacing w:after="120" w:line="276" w:lineRule="auto"/>
        <w:jc w:val="both"/>
      </w:pPr>
      <w:r>
        <w:rPr>
          <w:sz w:val="21"/>
        </w:rPr>
        <w:t>To evaluate temporal purchasing density, inter-transaction intervals were computed across all 784 consecutive repeat purchase pairs. Table 4 summarizes the descriptive statistics of the observed intervals.</w:t>
      </w:r>
    </w:p>
    <w:p>
      <w:pPr>
        <w:spacing w:before="120" w:after="60"/>
      </w:pPr>
      <w:r>
        <w:rPr>
          <w:b/>
          <w:sz w:val="20"/>
        </w:rPr>
        <w:t>Table 4. Descriptive Statistics of Inter-Transaction Intervals</w:t>
      </w:r>
    </w:p>
    <w:tbl>
      <w:tblPr>
        <w:tblW w:type="auto" w:w="0"/>
        <w:jc w:val="center"/>
        <w:tblLook w:firstColumn="1" w:firstRow="1" w:lastColumn="0" w:lastRow="0" w:noHBand="0" w:noVBand="1" w:val="04A0"/>
      </w:tblPr>
      <w:tblGrid>
        <w:gridCol w:w="3010"/>
        <w:gridCol w:w="3010"/>
        <w:gridCol w:w="3010"/>
      </w:tblGrid>
      <w:tr>
        <w:tc>
          <w:tcPr>
            <w:tcW w:type="dxa" w:w="3010"/>
            <w:vAlign w:val="center"/>
            <w:tcMar>
              <w:top w:w="120" w:type="dxa"/>
              <w:bottom w:w="120" w:type="dxa"/>
              <w:left w:w="180" w:type="dxa"/>
              <w:right w:w="180" w:type="dxa"/>
            </w:tcMar>
            <w:shd w:fill="E8EEF5"/>
          </w:tcPr>
          <w:p>
            <w:pPr>
              <w:spacing w:after="40"/>
            </w:pPr>
            <w:r>
              <w:rPr>
                <w:b/>
                <w:sz w:val="19"/>
              </w:rPr>
              <w:t>Statistical Metric</w:t>
            </w:r>
          </w:p>
        </w:tc>
        <w:tc>
          <w:tcPr>
            <w:tcW w:type="dxa" w:w="3010"/>
            <w:vAlign w:val="center"/>
            <w:tcMar>
              <w:top w:w="120" w:type="dxa"/>
              <w:bottom w:w="120" w:type="dxa"/>
              <w:left w:w="180" w:type="dxa"/>
              <w:right w:w="180" w:type="dxa"/>
            </w:tcMar>
            <w:shd w:fill="E8EEF5"/>
          </w:tcPr>
          <w:p>
            <w:pPr>
              <w:spacing w:after="40"/>
            </w:pPr>
            <w:r>
              <w:rPr>
                <w:b/>
                <w:sz w:val="19"/>
              </w:rPr>
              <w:t>Interval Value (Calendar Days)</w:t>
            </w:r>
          </w:p>
        </w:tc>
        <w:tc>
          <w:tcPr>
            <w:tcW w:type="dxa" w:w="3010"/>
            <w:vAlign w:val="center"/>
            <w:tcMar>
              <w:top w:w="120" w:type="dxa"/>
              <w:bottom w:w="120" w:type="dxa"/>
              <w:left w:w="180" w:type="dxa"/>
              <w:right w:w="180" w:type="dxa"/>
            </w:tcMar>
            <w:shd w:fill="E8EEF5"/>
          </w:tcPr>
          <w:p>
            <w:pPr>
              <w:spacing w:after="40"/>
            </w:pPr>
            <w:r>
              <w:rPr>
                <w:b/>
                <w:sz w:val="19"/>
              </w:rPr>
              <w:t>Operational Time Equivalent</w:t>
            </w:r>
          </w:p>
        </w:tc>
      </w:tr>
      <w:tr>
        <w:tc>
          <w:tcPr>
            <w:tcW w:type="dxa" w:w="3010"/>
            <w:vAlign w:val="center"/>
            <w:tcMar>
              <w:top w:w="120" w:type="dxa"/>
              <w:bottom w:w="120" w:type="dxa"/>
              <w:left w:w="180" w:type="dxa"/>
              <w:right w:w="180" w:type="dxa"/>
            </w:tcMar>
          </w:tcPr>
          <w:p>
            <w:pPr>
              <w:spacing w:after="40"/>
            </w:pPr>
            <w:r>
              <w:rPr>
                <w:sz w:val="18"/>
              </w:rPr>
              <w:t>Total Consecutive Pairs (N)</w:t>
            </w:r>
          </w:p>
        </w:tc>
        <w:tc>
          <w:tcPr>
            <w:tcW w:type="dxa" w:w="3010"/>
            <w:vAlign w:val="center"/>
            <w:tcMar>
              <w:top w:w="120" w:type="dxa"/>
              <w:bottom w:w="120" w:type="dxa"/>
              <w:left w:w="180" w:type="dxa"/>
              <w:right w:w="180" w:type="dxa"/>
            </w:tcMar>
          </w:tcPr>
          <w:p>
            <w:pPr>
              <w:spacing w:after="40"/>
            </w:pPr>
            <w:r>
              <w:rPr>
                <w:sz w:val="18"/>
              </w:rPr>
              <w:t>784 Intervals</w:t>
            </w:r>
          </w:p>
        </w:tc>
        <w:tc>
          <w:tcPr>
            <w:tcW w:type="dxa" w:w="3010"/>
            <w:vAlign w:val="center"/>
            <w:tcMar>
              <w:top w:w="120" w:type="dxa"/>
              <w:bottom w:w="120" w:type="dxa"/>
              <w:left w:w="180" w:type="dxa"/>
              <w:right w:w="180" w:type="dxa"/>
            </w:tcMar>
          </w:tcPr>
          <w:p>
            <w:pPr>
              <w:spacing w:after="40"/>
            </w:pPr>
            <w:r>
              <w:rPr>
                <w:sz w:val="18"/>
              </w:rPr>
              <w:t>784 Transitions</w:t>
            </w:r>
          </w:p>
        </w:tc>
      </w:tr>
      <w:tr>
        <w:tc>
          <w:tcPr>
            <w:tcW w:type="dxa" w:w="3010"/>
            <w:vAlign w:val="center"/>
            <w:tcMar>
              <w:top w:w="120" w:type="dxa"/>
              <w:bottom w:w="120" w:type="dxa"/>
              <w:left w:w="180" w:type="dxa"/>
              <w:right w:w="180" w:type="dxa"/>
            </w:tcMar>
          </w:tcPr>
          <w:p>
            <w:pPr>
              <w:spacing w:after="40"/>
            </w:pPr>
            <w:r>
              <w:rPr>
                <w:sz w:val="18"/>
              </w:rPr>
              <w:t>Mean Interval</w:t>
            </w:r>
          </w:p>
        </w:tc>
        <w:tc>
          <w:tcPr>
            <w:tcW w:type="dxa" w:w="3010"/>
            <w:vAlign w:val="center"/>
            <w:tcMar>
              <w:top w:w="120" w:type="dxa"/>
              <w:bottom w:w="120" w:type="dxa"/>
              <w:left w:w="180" w:type="dxa"/>
              <w:right w:w="180" w:type="dxa"/>
            </w:tcMar>
          </w:tcPr>
          <w:p>
            <w:pPr>
              <w:spacing w:after="40"/>
            </w:pPr>
            <w:r>
              <w:rPr>
                <w:sz w:val="18"/>
              </w:rPr>
              <w:t>1.31 Days</w:t>
            </w:r>
          </w:p>
        </w:tc>
        <w:tc>
          <w:tcPr>
            <w:tcW w:type="dxa" w:w="3010"/>
            <w:vAlign w:val="center"/>
            <w:tcMar>
              <w:top w:w="120" w:type="dxa"/>
              <w:bottom w:w="120" w:type="dxa"/>
              <w:left w:w="180" w:type="dxa"/>
              <w:right w:w="180" w:type="dxa"/>
            </w:tcMar>
          </w:tcPr>
          <w:p>
            <w:pPr>
              <w:spacing w:after="40"/>
            </w:pPr>
            <w:r>
              <w:rPr>
                <w:sz w:val="18"/>
              </w:rPr>
              <w:t>31.44 Hours</w:t>
            </w:r>
          </w:p>
        </w:tc>
      </w:tr>
      <w:tr>
        <w:tc>
          <w:tcPr>
            <w:tcW w:type="dxa" w:w="3010"/>
            <w:vAlign w:val="center"/>
            <w:tcMar>
              <w:top w:w="120" w:type="dxa"/>
              <w:bottom w:w="120" w:type="dxa"/>
              <w:left w:w="180" w:type="dxa"/>
              <w:right w:w="180" w:type="dxa"/>
            </w:tcMar>
          </w:tcPr>
          <w:p>
            <w:pPr>
              <w:spacing w:after="40"/>
            </w:pPr>
            <w:r>
              <w:rPr>
                <w:sz w:val="18"/>
              </w:rPr>
              <w:t>Median Interval (Q2)</w:t>
            </w:r>
          </w:p>
        </w:tc>
        <w:tc>
          <w:tcPr>
            <w:tcW w:type="dxa" w:w="3010"/>
            <w:vAlign w:val="center"/>
            <w:tcMar>
              <w:top w:w="120" w:type="dxa"/>
              <w:bottom w:w="120" w:type="dxa"/>
              <w:left w:w="180" w:type="dxa"/>
              <w:right w:w="180" w:type="dxa"/>
            </w:tcMar>
          </w:tcPr>
          <w:p>
            <w:pPr>
              <w:spacing w:after="40"/>
            </w:pPr>
            <w:r>
              <w:rPr>
                <w:sz w:val="18"/>
              </w:rPr>
              <w:t>0.00 Days</w:t>
            </w:r>
          </w:p>
        </w:tc>
        <w:tc>
          <w:tcPr>
            <w:tcW w:type="dxa" w:w="3010"/>
            <w:vAlign w:val="center"/>
            <w:tcMar>
              <w:top w:w="120" w:type="dxa"/>
              <w:bottom w:w="120" w:type="dxa"/>
              <w:left w:w="180" w:type="dxa"/>
              <w:right w:w="180" w:type="dxa"/>
            </w:tcMar>
          </w:tcPr>
          <w:p>
            <w:pPr>
              <w:spacing w:after="40"/>
            </w:pPr>
            <w:r>
              <w:rPr>
                <w:sz w:val="18"/>
              </w:rPr>
              <w:t>&lt; 1 Hour (Same calendar day)</w:t>
            </w:r>
          </w:p>
        </w:tc>
      </w:tr>
      <w:tr>
        <w:tc>
          <w:tcPr>
            <w:tcW w:type="dxa" w:w="3010"/>
            <w:vAlign w:val="center"/>
            <w:tcMar>
              <w:top w:w="120" w:type="dxa"/>
              <w:bottom w:w="120" w:type="dxa"/>
              <w:left w:w="180" w:type="dxa"/>
              <w:right w:w="180" w:type="dxa"/>
            </w:tcMar>
          </w:tcPr>
          <w:p>
            <w:pPr>
              <w:spacing w:after="40"/>
            </w:pPr>
            <w:r>
              <w:rPr>
                <w:sz w:val="18"/>
              </w:rPr>
              <w:t>First Quartile (Q1 - 25%)</w:t>
            </w:r>
          </w:p>
        </w:tc>
        <w:tc>
          <w:tcPr>
            <w:tcW w:type="dxa" w:w="3010"/>
            <w:vAlign w:val="center"/>
            <w:tcMar>
              <w:top w:w="120" w:type="dxa"/>
              <w:bottom w:w="120" w:type="dxa"/>
              <w:left w:w="180" w:type="dxa"/>
              <w:right w:w="180" w:type="dxa"/>
            </w:tcMar>
          </w:tcPr>
          <w:p>
            <w:pPr>
              <w:spacing w:after="40"/>
            </w:pPr>
            <w:r>
              <w:rPr>
                <w:sz w:val="18"/>
              </w:rPr>
              <w:t>0.00 Days</w:t>
            </w:r>
          </w:p>
        </w:tc>
        <w:tc>
          <w:tcPr>
            <w:tcW w:type="dxa" w:w="3010"/>
            <w:vAlign w:val="center"/>
            <w:tcMar>
              <w:top w:w="120" w:type="dxa"/>
              <w:bottom w:w="120" w:type="dxa"/>
              <w:left w:w="180" w:type="dxa"/>
              <w:right w:w="180" w:type="dxa"/>
            </w:tcMar>
          </w:tcPr>
          <w:p>
            <w:pPr>
              <w:spacing w:after="40"/>
            </w:pPr>
            <w:r>
              <w:rPr>
                <w:sz w:val="18"/>
              </w:rPr>
              <w:t>Immediate successive purchase</w:t>
            </w:r>
          </w:p>
        </w:tc>
      </w:tr>
      <w:tr>
        <w:tc>
          <w:tcPr>
            <w:tcW w:type="dxa" w:w="3010"/>
            <w:vAlign w:val="center"/>
            <w:tcMar>
              <w:top w:w="120" w:type="dxa"/>
              <w:bottom w:w="120" w:type="dxa"/>
              <w:left w:w="180" w:type="dxa"/>
              <w:right w:w="180" w:type="dxa"/>
            </w:tcMar>
          </w:tcPr>
          <w:p>
            <w:pPr>
              <w:spacing w:after="40"/>
            </w:pPr>
            <w:r>
              <w:rPr>
                <w:sz w:val="18"/>
              </w:rPr>
              <w:t>Third Quartile (Q3 - 75%)</w:t>
            </w:r>
          </w:p>
        </w:tc>
        <w:tc>
          <w:tcPr>
            <w:tcW w:type="dxa" w:w="3010"/>
            <w:vAlign w:val="center"/>
            <w:tcMar>
              <w:top w:w="120" w:type="dxa"/>
              <w:bottom w:w="120" w:type="dxa"/>
              <w:left w:w="180" w:type="dxa"/>
              <w:right w:w="180" w:type="dxa"/>
            </w:tcMar>
          </w:tcPr>
          <w:p>
            <w:pPr>
              <w:spacing w:after="40"/>
            </w:pPr>
            <w:r>
              <w:rPr>
                <w:sz w:val="18"/>
              </w:rPr>
              <w:t>0.65 Days</w:t>
            </w:r>
          </w:p>
        </w:tc>
        <w:tc>
          <w:tcPr>
            <w:tcW w:type="dxa" w:w="3010"/>
            <w:vAlign w:val="center"/>
            <w:tcMar>
              <w:top w:w="120" w:type="dxa"/>
              <w:bottom w:w="120" w:type="dxa"/>
              <w:left w:w="180" w:type="dxa"/>
              <w:right w:w="180" w:type="dxa"/>
            </w:tcMar>
          </w:tcPr>
          <w:p>
            <w:pPr>
              <w:spacing w:after="40"/>
            </w:pPr>
            <w:r>
              <w:rPr>
                <w:sz w:val="18"/>
              </w:rPr>
              <w:t>15.60 Hours</w:t>
            </w:r>
          </w:p>
        </w:tc>
      </w:tr>
      <w:tr>
        <w:tc>
          <w:tcPr>
            <w:tcW w:type="dxa" w:w="3010"/>
            <w:vAlign w:val="center"/>
            <w:tcMar>
              <w:top w:w="120" w:type="dxa"/>
              <w:bottom w:w="120" w:type="dxa"/>
              <w:left w:w="180" w:type="dxa"/>
              <w:right w:w="180" w:type="dxa"/>
            </w:tcMar>
          </w:tcPr>
          <w:p>
            <w:pPr>
              <w:spacing w:after="40"/>
            </w:pPr>
            <w:r>
              <w:rPr>
                <w:sz w:val="18"/>
              </w:rPr>
              <w:t>Minimum Interval</w:t>
            </w:r>
          </w:p>
        </w:tc>
        <w:tc>
          <w:tcPr>
            <w:tcW w:type="dxa" w:w="3010"/>
            <w:vAlign w:val="center"/>
            <w:tcMar>
              <w:top w:w="120" w:type="dxa"/>
              <w:bottom w:w="120" w:type="dxa"/>
              <w:left w:w="180" w:type="dxa"/>
              <w:right w:w="180" w:type="dxa"/>
            </w:tcMar>
          </w:tcPr>
          <w:p>
            <w:pPr>
              <w:spacing w:after="40"/>
            </w:pPr>
            <w:r>
              <w:rPr>
                <w:sz w:val="18"/>
              </w:rPr>
              <w:t>0.00 Days (0.00 Hours)</w:t>
            </w:r>
          </w:p>
        </w:tc>
        <w:tc>
          <w:tcPr>
            <w:tcW w:type="dxa" w:w="3010"/>
            <w:vAlign w:val="center"/>
            <w:tcMar>
              <w:top w:w="120" w:type="dxa"/>
              <w:bottom w:w="120" w:type="dxa"/>
              <w:left w:w="180" w:type="dxa"/>
              <w:right w:w="180" w:type="dxa"/>
            </w:tcMar>
          </w:tcPr>
          <w:p>
            <w:pPr>
              <w:spacing w:after="40"/>
            </w:pPr>
            <w:r>
              <w:rPr>
                <w:sz w:val="18"/>
              </w:rPr>
              <w:t>Consecutive batch order</w:t>
            </w:r>
          </w:p>
        </w:tc>
      </w:tr>
      <w:tr>
        <w:tc>
          <w:tcPr>
            <w:tcW w:type="dxa" w:w="3010"/>
            <w:vAlign w:val="center"/>
            <w:tcMar>
              <w:top w:w="120" w:type="dxa"/>
              <w:bottom w:w="120" w:type="dxa"/>
              <w:left w:w="180" w:type="dxa"/>
              <w:right w:w="180" w:type="dxa"/>
            </w:tcMar>
          </w:tcPr>
          <w:p>
            <w:pPr>
              <w:spacing w:after="40"/>
            </w:pPr>
            <w:r>
              <w:rPr>
                <w:sz w:val="18"/>
              </w:rPr>
              <w:t>Maximum Interval</w:t>
            </w:r>
          </w:p>
        </w:tc>
        <w:tc>
          <w:tcPr>
            <w:tcW w:type="dxa" w:w="3010"/>
            <w:vAlign w:val="center"/>
            <w:tcMar>
              <w:top w:w="120" w:type="dxa"/>
              <w:bottom w:w="120" w:type="dxa"/>
              <w:left w:w="180" w:type="dxa"/>
              <w:right w:w="180" w:type="dxa"/>
            </w:tcMar>
          </w:tcPr>
          <w:p>
            <w:pPr>
              <w:spacing w:after="40"/>
            </w:pPr>
            <w:r>
              <w:rPr>
                <w:sz w:val="18"/>
              </w:rPr>
              <w:t>49.77 Days</w:t>
            </w:r>
          </w:p>
        </w:tc>
        <w:tc>
          <w:tcPr>
            <w:tcW w:type="dxa" w:w="3010"/>
            <w:vAlign w:val="center"/>
            <w:tcMar>
              <w:top w:w="120" w:type="dxa"/>
              <w:bottom w:w="120" w:type="dxa"/>
              <w:left w:w="180" w:type="dxa"/>
              <w:right w:w="180" w:type="dxa"/>
            </w:tcMar>
          </w:tcPr>
          <w:p>
            <w:pPr>
              <w:spacing w:after="40"/>
            </w:pPr>
            <w:r>
              <w:rPr>
                <w:sz w:val="18"/>
              </w:rPr>
              <w:t>~1,194.50 Hours</w:t>
            </w:r>
          </w:p>
        </w:tc>
      </w:tr>
    </w:tbl>
    <w:p>
      <w:pPr>
        <w:spacing w:after="120" w:line="276" w:lineRule="auto"/>
        <w:jc w:val="both"/>
      </w:pPr>
      <w:r>
        <w:rPr>
          <w:sz w:val="21"/>
        </w:rPr>
        <w:t>The empirical findings in Table 4 reveal a highly skewed, zero-inflated interval distribution. Over 50% of repeat purchases occurred on the exact same calendar day (Median = 0.00 days). Furthermore, 75% of all repeat transactions took place within less than 15.60 hours (Q3 = 0.65 days). This indicates that consumers engage in burst-like purchasing cycles during active gaming sessions.</w:t>
      </w:r>
    </w:p>
    <w:p>
      <w:pPr>
        <w:spacing w:before="160" w:after="60"/>
      </w:pPr>
      <w:r>
        <w:rPr>
          <w:b/>
          <w:sz w:val="21"/>
        </w:rPr>
        <w:t>4.5 Discussion</w:t>
      </w:r>
    </w:p>
    <w:p>
      <w:pPr>
        <w:spacing w:after="120" w:line="276" w:lineRule="auto"/>
        <w:jc w:val="both"/>
      </w:pPr>
      <w:r>
        <w:rPr>
          <w:sz w:val="21"/>
        </w:rPr>
        <w:t>The empirical findings provide three critical insights for virtual goods commerce and Information Systems analytics:</w:t>
        <w:br/>
        <w:br/>
        <w:t>1. Session-Bound Micro-Purchasing Pattern: Unlike conventional retail where repeat purchases occur over weekly or monthly cycles, virtual goods transactions exhibit rapid, session-driven execution. Consumers reorder within hours during live gameplay as immediate in-game needs emerge.</w:t>
        <w:br/>
        <w:br/>
        <w:t>2. Service Delay Tolerance in Niche Digital Assets: Despite an average fulfillment duration of 3.57 hours for repeat buyers, retention remained exceptionally high (60.94%). In specialized C2C digital asset markets, fulfillment certainty and merchant reliability outweigh non-instantaneous delivery speeds.</w:t>
        <w:br/>
        <w:br/>
        <w:t>3. Contextual Value-Added Practices: Merchant operational practices, such as incorporating unquantified bonus items during service adjustments, likely reinforce ongoing transactional relationships. While not modeled as a numerical variable, these operational practices serve as a valuable contextual mechanism supporting high customer retention.</w:t>
      </w:r>
    </w:p>
    <w:p>
      <w:pPr>
        <w:spacing w:before="240" w:after="80"/>
      </w:pPr>
      <w:r>
        <w:rPr>
          <w:b/>
          <w:sz w:val="23"/>
        </w:rPr>
        <w:t>5. CONCLUSION</w:t>
      </w:r>
    </w:p>
    <w:p>
      <w:pPr>
        <w:spacing w:after="120" w:line="276" w:lineRule="auto"/>
        <w:jc w:val="both"/>
      </w:pPr>
      <w:r>
        <w:rPr>
          <w:sz w:val="21"/>
        </w:rPr>
        <w:t>This study analyzed the repeat purchase patterns of consumers in a Roblox secondary virtual goods marketplace using 1,017 transaction records. The findings confirm that repeat buyers dominate revenue generation (92.62%) and exhibit rapid repurchase cycles, with 75% of repeat orders occurring within less than 15.60 hours. This confirms that virtual goods commerce operates on compressed temporal horizons heavily concentrated among high-frequency micro-purchasers.</w:t>
      </w:r>
    </w:p>
    <w:p>
      <w:pPr>
        <w:spacing w:after="120" w:line="276" w:lineRule="auto"/>
        <w:jc w:val="both"/>
      </w:pPr>
      <w:r>
        <w:rPr>
          <w:sz w:val="21"/>
        </w:rPr>
        <w:t>Practical and System Implications: E-commerce platform developers and marketplace merchants should tailor customer relationship management (CRM) systems toward active gaming session windows. Optimizing automated merchant availability and notification pipelines during peak evening gaming hours can directly capture consecutive micro-transaction streams.</w:t>
      </w:r>
    </w:p>
    <w:p>
      <w:pPr>
        <w:spacing w:after="120" w:line="276" w:lineRule="auto"/>
        <w:jc w:val="both"/>
      </w:pPr>
      <w:r>
        <w:rPr>
          <w:sz w:val="21"/>
        </w:rPr>
        <w:t>Limitations and Future Research: This research is constrained to observational log data from a single merchant entity without direct psychometric measurement of consumer perceptions. Future research should integrate quantitative log data with structured consumer surveys to evaluate the interplay between perceived value, price sensitivity, and repeat purchase decisions.</w:t>
      </w:r>
    </w:p>
    <w:p>
      <w:pPr>
        <w:spacing w:before="240" w:after="80"/>
      </w:pPr>
      <w:r>
        <w:rPr>
          <w:b/>
          <w:sz w:val="23"/>
        </w:rPr>
        <w:t>REFERENCES</w:t>
      </w:r>
    </w:p>
    <w:p>
      <w:pPr>
        <w:spacing w:after="60"/>
        <w:ind w:left="360" w:hanging="360"/>
      </w:pPr>
      <w:r>
        <w:rPr>
          <w:sz w:val="19"/>
        </w:rPr>
        <w:t>[1] J. Hamari and V. Lehdonvirta, "Game design as marketing: How game mechanics create demand for virtual goods," International Journal of Business Science &amp; Applied Management, vol. 5, no. 1, pp. 14-29, 2010.</w:t>
      </w:r>
    </w:p>
    <w:p>
      <w:pPr>
        <w:spacing w:after="60"/>
        <w:ind w:left="360" w:hanging="360"/>
      </w:pPr>
      <w:r>
        <w:rPr>
          <w:sz w:val="19"/>
        </w:rPr>
        <w:t>[2] V. Lehdonvirta, "Virtual item sales as a revenue model: Identifying attributes that drive purchase decisions," Electronic Commerce Research, vol. 9, no. 1-2, pp. 97-113, 2009.</w:t>
      </w:r>
    </w:p>
    <w:p>
      <w:pPr>
        <w:spacing w:after="60"/>
        <w:ind w:left="360" w:hanging="360"/>
      </w:pPr>
      <w:r>
        <w:rPr>
          <w:sz w:val="19"/>
        </w:rPr>
        <w:t>[3] P. S. Fader, B. G. Hardie, and K. L. Lee, "RFM and CLV: Using iso-value curves for customer base analysis," Journal of Marketing Research, vol. 42, no. 4, pp. 415-430, 2005.</w:t>
      </w:r>
    </w:p>
    <w:p>
      <w:pPr>
        <w:spacing w:after="60"/>
        <w:ind w:left="360" w:hanging="360"/>
      </w:pPr>
      <w:r>
        <w:rPr>
          <w:sz w:val="19"/>
        </w:rPr>
        <w:t>[4] P. K. Hellier, G. M. Geursen, R. A. Carr, and J. A. Rickard, "Customer repurchase intention: A general structural equation model," European Journal of Marketing, vol. 37, no. 11/12, pp. 1762-1800, 2003.</w:t>
      </w:r>
    </w:p>
    <w:p>
      <w:pPr>
        <w:spacing w:after="60"/>
        <w:ind w:left="360" w:hanging="360"/>
      </w:pPr>
      <w:r>
        <w:rPr>
          <w:sz w:val="19"/>
        </w:rPr>
        <w:t>[5] P. K. Chintagunta, J. Chu, and J. Cebollada, "Quantifying transaction costs in online/off-line grocery channel choice," Marketing Science, vol. 31, no. 1, pp. 96-114, 2012.</w:t>
      </w:r>
    </w:p>
    <w:p>
      <w:pPr>
        <w:spacing w:after="60"/>
        <w:ind w:left="360" w:hanging="360"/>
      </w:pPr>
      <w:r>
        <w:rPr>
          <w:sz w:val="19"/>
        </w:rPr>
        <w:t>[6] J. A. Fairfield, "Virtual property," Boston University Law Review, vol. 85, pp. 1047-1102, 2005.</w:t>
      </w:r>
    </w:p>
    <w:p>
      <w:pPr>
        <w:spacing w:after="60"/>
        <w:ind w:left="360" w:hanging="360"/>
      </w:pPr>
      <w:r>
        <w:rPr>
          <w:sz w:val="19"/>
        </w:rPr>
        <w:t>[7] J. Hamari, "Why do people buy virtual goods? Attitude towards virtual good purchases versus purchase intention," International Journal of Information Management, vol. 35, no. 3, pp. 299-308, 2015.</w:t>
      </w:r>
    </w:p>
    <w:p>
      <w:pPr>
        <w:spacing w:after="60"/>
        <w:ind w:left="360" w:hanging="360"/>
      </w:pPr>
      <w:r>
        <w:rPr>
          <w:sz w:val="19"/>
        </w:rPr>
        <w:t>[8] R. L. Oliver, "Whence consumer loyalty?," Journal of Marketing, vol. 63, no. 4_suppl1, pp. 33-44, 1999.</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