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CambriaMath-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pPr>
        <w:spacing w:before="240" w:after="120"/>
        <w:jc w:val="center"/>
      </w:pPr>
      <w:r>
        <w:rPr>
          <w:rFonts w:ascii="Times New Roman" w:hAnsi="Times New Roman"/>
          <w:b/>
          <w:sz w:val="40"/>
        </w:rPr>
        <w:t>Algorithms and Web Architecture for Lightweight Multiplayer Archipelago Monopoly Game Engine</w:t>
      </w:r>
    </w:p>
    <w:p>
      <w:pPr>
        <w:spacing w:before="80" w:after="40"/>
        <w:jc w:val="center"/>
      </w:pPr>
      <w:r>
        <w:rPr>
          <w:rFonts w:ascii="Times New Roman" w:hAnsi="Times New Roman"/>
          <w:b/>
          <w:sz w:val="22"/>
        </w:rPr>
        <w:t>Muhammad Fahrul Bahri</w:t>
      </w:r>
      <w:r>
        <w:rPr>
          <w:rFonts w:ascii="Times New Roman" w:hAnsi="Times New Roman"/>
          <w:sz w:val="22"/>
        </w:rPr>
        <w:t xml:space="preserve">1)*, </w:t>
      </w:r>
      <w:r>
        <w:rPr>
          <w:rFonts w:ascii="Times New Roman" w:hAnsi="Times New Roman"/>
          <w:b/>
          <w:sz w:val="22"/>
        </w:rPr>
        <w:t>Muhayat</w:t>
      </w:r>
      <w:r>
        <w:rPr>
          <w:rFonts w:ascii="Times New Roman" w:hAnsi="Times New Roman"/>
          <w:sz w:val="22"/>
        </w:rPr>
        <w:t>2)</w:t>
      </w:r>
    </w:p>
    <w:p>
      <w:pPr>
        <w:spacing w:before="20" w:after="20"/>
        <w:jc w:val="center"/>
      </w:pPr>
      <w:r>
        <w:rPr>
          <w:rFonts w:ascii="Times New Roman" w:hAnsi="Times New Roman"/>
          <w:i/>
          <w:sz w:val="19"/>
        </w:rPr>
        <w:t>1)2)Department of Information Technology, Faculty of Science and Technology, Universitas Islam Negeri Antasari Banjarmasin, Indonesia</w:t>
      </w:r>
    </w:p>
    <w:p>
      <w:pPr>
        <w:spacing w:before="20" w:after="120"/>
        <w:jc w:val="center"/>
      </w:pPr>
      <w:r>
        <w:rPr>
          <w:rFonts w:ascii="Times New Roman" w:hAnsi="Times New Roman"/>
          <w:sz w:val="18"/>
        </w:rPr>
        <w:t>1)fahrulbahri@uin-antasari.ac.id, 2)muhayat@uin-antasari.ac.id</w:t>
      </w:r>
    </w:p>
    <w:p>
      <w:pPr>
        <w:spacing w:before="40" w:after="160"/>
        <w:jc w:val="center"/>
      </w:pPr>
      <w:r>
        <w:rPr>
          <w:rFonts w:ascii="Times New Roman" w:hAnsi="Times New Roman"/>
          <w:b/>
          <w:sz w:val="17"/>
        </w:rPr>
        <w:t>Submitted : xxxxx | Accepted : xxxx | Published : xxxxx</w:t>
      </w:r>
    </w:p>
    <w:p>
      <w:pPr>
        <w:spacing w:before="80" w:after="80" w:line="252" w:lineRule="auto"/>
        <w:jc w:val="both"/>
      </w:pPr>
      <w:r>
        <w:rPr>
          <w:rFonts w:ascii="Times New Roman" w:hAnsi="Times New Roman"/>
          <w:b/>
          <w:i/>
          <w:sz w:val="20"/>
        </w:rPr>
        <w:t xml:space="preserve">Abstract: </w:t>
      </w:r>
      <w:r>
        <w:rPr>
          <w:rFonts w:ascii="Times New Roman" w:hAnsi="Times New Roman"/>
          <w:i/>
          <w:sz w:val="20"/>
        </w:rPr>
        <w:t>Browser-based turn-based simulations frequently encounter client-side rendering bottlenecks and transactional race conditions when operating on low-bandwidth networks without dedicated server daemons. This study introduces an optimized web game architecture and programmatic pipeline implementing canonical economic board game rules contextualized within Indonesian geography. The proposed framework integrates four core algorithmic solutions: an atomic advisory file-locking transaction system utilizing flock() for room-level state concurrency control without relational database engines; a category-interleaved deck shuffling algorithm establishing mathematical guarantees against prolonged penalty sequences; an autonomous heuristic decision model that dynamically balances property acquisition costs against risk-adjusted liquidity reserves; and real-time audio synthesis executed entirely via native browser oscillators. Rigorous experimental evaluation spanning computational simulations, ApacheBench load tests, and user testing verified system capabilities. The card distribution mechanism completely bounds consecutive adverse event occurrences to two draws across two thousand execution cycles, mitigating punitive card clustering. In two hundred simulated four-player matches, the autonomous agent demonstrated a thirty-five percent victory frequency, significantly outperforming greedy over-leveraging and naive random baseline strategies while sustaining sub-millisecond calculation speed. Concurrency benchmarking confirmed server throughput of four hundred fifty requests per second under peak load with zero data corruption, and thirty participants reported a composite system usability score of eighty-four. These outcomes validate that disciplined algorithm and programming methodologies coupled with lightweight state isolation deliver high-performing multiplayer gaming experiences over standard web protocols without requiring complex server daemons.</w:t>
      </w:r>
    </w:p>
    <w:p>
      <w:pPr>
        <w:spacing w:before="40" w:after="240"/>
        <w:jc w:val="both"/>
      </w:pPr>
      <w:r>
        <w:rPr>
          <w:rFonts w:ascii="Times New Roman" w:hAnsi="Times New Roman"/>
          <w:b/>
          <w:sz w:val="20"/>
        </w:rPr>
        <w:t xml:space="preserve">Keywords: </w:t>
      </w:r>
      <w:r>
        <w:rPr>
          <w:rFonts w:ascii="Times New Roman" w:hAnsi="Times New Roman"/>
          <w:i/>
          <w:sz w:val="20"/>
        </w:rPr>
        <w:t>Algorithm and programming; Deck shuffling algorithm; Heuristic decision model; State concurrency control; Web game architecture</w:t>
      </w:r>
    </w:p>
    <w:p>
      <w:pPr>
        <w:keepNext/>
        <w:spacing w:before="240" w:after="80"/>
        <w:jc w:val="left"/>
      </w:pPr>
      <w:r>
        <w:rPr>
          <w:rFonts w:ascii="Times New Roman" w:hAnsi="Times New Roman"/>
          <w:b/>
          <w:sz w:val="20"/>
        </w:rPr>
        <w:t>INTRODUCTION</w:t>
      </w:r>
    </w:p>
    <w:p>
      <w:pPr>
        <w:spacing w:before="0" w:after="80" w:line="276" w:lineRule="auto"/>
        <w:ind w:firstLine="360"/>
        <w:jc w:val="both"/>
      </w:pPr>
      <w:r>
        <w:rPr>
          <w:rFonts w:ascii="Times New Roman" w:hAnsi="Times New Roman"/>
          <w:sz w:val="20"/>
        </w:rPr>
        <w:t>Digital tabletop board games have become an influential medium for interactive computing and education, fusing strategic economic planning with stochastic state transitions. Migrating classic board games to modern web browsers introduces notable software engineering challenges, particularly regarding runtime performance and server efficiency. Turn-based economic games patterned after Monopoly depend on high-frequency state updates, including land acquisitions, rental payments, dynamic construction upgrades, and probabilistic card events (Herrero et al., 2026; Subiyanto, 2026). However, conventional browser implementations often depend on heavyweight relational database management systems, full-stack enterprise frameworks, and extensive static media files, creating severe execution latency and high bandwidth consumption on constrained networks.</w:t>
      </w:r>
    </w:p>
    <w:p>
      <w:pPr>
        <w:spacing w:before="0" w:after="80" w:line="276" w:lineRule="auto"/>
        <w:ind w:firstLine="360"/>
        <w:jc w:val="both"/>
      </w:pPr>
      <w:r>
        <w:rPr>
          <w:rFonts w:ascii="Times New Roman" w:hAnsi="Times New Roman"/>
          <w:sz w:val="20"/>
        </w:rPr>
        <w:t>From the viewpoint of algorithm and programming, web-based digital tabletop systems encounter three fundamental computational obstacles. First, conventional uniform pseudo-random number generator routines applied to event card decks frequently cause undesirable clustering, trapping players in repetitive sequences of severe penalties that disrupt game flow (Derrick et al., 2022; Guo et al., 2024). Second, integrating artificial intelligence opponents within client runtimes requires balancing computational overhead: deep adversarial tree searches induce noticeable browser execution lag, whereas simplistic random scripts lack competitive depth (Bauer, 2024; Parihar &amp; S. M., 2024; Russell &amp; Norvig, 2020). Third, orchestrating concurrent multi-user sessions over stateless HTTP protocols introduces significant risks of race conditions and state corruption during simultaneous client submissions unless atomic concurrency control is maintained (Wang et al., 2024; Ye et al., 2023).</w:t>
      </w:r>
    </w:p>
    <w:p>
      <w:pPr>
        <w:spacing w:before="0" w:after="80" w:line="276" w:lineRule="auto"/>
        <w:ind w:firstLine="360"/>
        <w:jc w:val="both"/>
      </w:pPr>
      <w:r>
        <w:rPr>
          <w:rFonts w:ascii="Times New Roman" w:hAnsi="Times New Roman"/>
          <w:sz w:val="20"/>
        </w:rPr>
        <w:t>To resolve these architectural limitations, this study presents the design and algorithmic implementation of Nusantara Monopoly, a lightweight multiplayer web simulation themed around Indonesian geography and regional economies. The core scientific contributions of this research are: first, a Balanced Category-Interleaved Deck Shuffling algorithm that provides deterministic mathematical limits against consecutive adverse outcomes; second, an autonomous Heuristic AI Decision Model utilizing closed-form liquidity buffers to achieve sub-millisecond reasoning without combinatorial search; and third, a room-isolated JSON transactional architecture leveraging atomic advisory file locks for corruption-free multiplayer synchronization without database engines.</w:t>
      </w:r>
    </w:p>
    <w:p>
      <w:pPr>
        <w:keepNext/>
        <w:spacing w:before="240" w:after="80"/>
        <w:jc w:val="left"/>
      </w:pPr>
      <w:r>
        <w:rPr>
          <w:rFonts w:ascii="Times New Roman" w:hAnsi="Times New Roman"/>
          <w:b/>
          <w:sz w:val="20"/>
        </w:rPr>
        <w:t>LITERATURE REVIEW</w:t>
      </w:r>
    </w:p>
    <w:p>
      <w:pPr>
        <w:spacing w:before="0" w:after="80" w:line="276" w:lineRule="auto"/>
        <w:ind w:firstLine="360"/>
        <w:jc w:val="both"/>
      </w:pPr>
      <w:r>
        <w:rPr>
          <w:rFonts w:ascii="Times New Roman" w:hAnsi="Times New Roman"/>
          <w:sz w:val="20"/>
        </w:rPr>
        <w:t>The mathematical structure and probabilistic dynamics of tabletop games have attracted substantial attention in computer science. Hall (2022) analyzed how spatial topologies, dice probability distributions, and card decks interact, observing that engaging gameplay requires carefully tuned stochastic boundaries. Liu and Wong (2025) formulated absorbing Markov chain models for standard Monopoly, demonstrating that spatial transition structures produce distinct spatial landing concentrations across property zones. Nonetheless, when event card decks rely solely on unconstrained uniform permutations, stochastic clustering often generates severe runs of negative outcomes, causing artificial player frustration (Derrick et al., 2022; Freese &amp; Lukosch, 2023).</w:t>
      </w:r>
    </w:p>
    <w:p>
      <w:pPr>
        <w:spacing w:before="0" w:after="80" w:line="276" w:lineRule="auto"/>
        <w:ind w:firstLine="360"/>
        <w:jc w:val="both"/>
      </w:pPr>
      <w:r>
        <w:rPr>
          <w:rFonts w:ascii="Times New Roman" w:hAnsi="Times New Roman"/>
          <w:sz w:val="20"/>
        </w:rPr>
        <w:t>In game artificial intelligence, deep reinforcement learning frameworks and Monte Carlo Tree Search have set remarkable performance milestones in discrete games (Bauer, 2024; Li et al., 2026; Steinmetz &amp; Gini, 2021). However, executing large neural models inside client-side JavaScript engines demands substantial memory footprints and induces inference delays that degrade rendering fluidness. Heuristic evaluation models provide a compelling, resource-efficient alternative by employing closed-form domain rules (Jung &amp; Hoey, 2025; Pratama et al., 2024). Concurrently, web multiplayer backend designs have transitioned from bulky database setups toward decentralized, lightweight state persistence (Mohamad et al., 2026; Ramadhan et al., 2024). Although distributed optimistic concurrency control systems like Dodo (Wang et al., 2024) and Polaris (Ye et al., 2023) achieve remarkable throughput in cloud clusters, applying lightweight POSIX file locks directly to isolated room state files provides an unexplored, zero-dependency architectural paradigm for lightweight web gaming.</w:t>
      </w:r>
    </w:p>
    <w:p>
      <w:pPr>
        <w:spacing w:before="0" w:after="80" w:line="276" w:lineRule="auto"/>
        <w:ind w:firstLine="360"/>
        <w:jc w:val="both"/>
      </w:pPr>
      <w:r>
        <w:rPr>
          <w:rFonts w:ascii="Times New Roman" w:hAnsi="Times New Roman"/>
          <w:sz w:val="20"/>
        </w:rPr>
        <w:t>While existing studies have examined individual components of web games in isolation, a comprehensive framework combining streak-bounded card shuffling, sub-millisecond heuristic AI, and database-free atomic concurrency remains unaddressed. Table 1 contrasts the technical characteristics of the proposed architecture against related implementations.</w:t>
      </w:r>
    </w:p>
    <w:p>
      <w:pPr>
        <w:spacing w:before="160" w:after="40"/>
      </w:pPr>
      <w:r>
        <w:rPr>
          <w:rFonts w:ascii="Times New Roman" w:hAnsi="Times New Roman"/>
          <w:b/>
          <w:sz w:val="18"/>
        </w:rPr>
        <w:t>Table 1. Architectural and Algorithmic Comparison of Related Digital Board Game Implementations</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D3D3D3"/>
        </w:tblBorders>
      </w:tblPr>
      <w:tblGrid>
        <w:gridCol w:w="1512"/>
        <w:gridCol w:w="1512"/>
        <w:gridCol w:w="1512"/>
        <w:gridCol w:w="1512"/>
        <w:gridCol w:w="1512"/>
        <w:gridCol w:w="1512"/>
      </w:tblGrid>
      <w:tr>
        <w:trPr>
          <w:tblHeader/>
        </w:trPr>
        <w:tc>
          <w:tcPr>
            <w:tcW w:type="dxa" w:w="2592"/>
            <w:tcMar>
              <w:top w:w="80" w:type="dxa"/>
              <w:bottom w:w="80" w:type="dxa"/>
              <w:left w:w="100" w:type="dxa"/>
              <w:right w:w="100" w:type="dxa"/>
            </w:tcMar>
            <w:shd w:val="clear" w:color="auto" w:fill="EAEAEA"/>
            <w:vAlign w:val="center"/>
          </w:tcPr>
          <w:p>
            <w:pPr>
              <w:spacing w:before="40" w:after="40"/>
              <w:jc w:val="center"/>
            </w:pPr>
            <w:r>
              <w:rPr>
                <w:rFonts w:ascii="Times New Roman" w:hAnsi="Times New Roman"/>
                <w:b/>
                <w:sz w:val="18"/>
              </w:rPr>
              <w:t>Study / Reference</w:t>
            </w:r>
          </w:p>
        </w:tc>
        <w:tc>
          <w:tcPr>
            <w:tcW w:type="dxa" w:w="1872"/>
            <w:tcMar>
              <w:top w:w="80" w:type="dxa"/>
              <w:bottom w:w="80" w:type="dxa"/>
              <w:left w:w="100" w:type="dxa"/>
              <w:right w:w="100" w:type="dxa"/>
            </w:tcMar>
            <w:shd w:val="clear" w:color="auto" w:fill="EAEAEA"/>
            <w:vAlign w:val="center"/>
          </w:tcPr>
          <w:p>
            <w:pPr>
              <w:spacing w:before="40" w:after="40"/>
              <w:jc w:val="center"/>
            </w:pPr>
            <w:r>
              <w:rPr>
                <w:rFonts w:ascii="Times New Roman" w:hAnsi="Times New Roman"/>
                <w:b/>
                <w:sz w:val="18"/>
              </w:rPr>
              <w:t>Deck Streak Bounding</w:t>
            </w:r>
          </w:p>
        </w:tc>
        <w:tc>
          <w:tcPr>
            <w:tcW w:type="dxa" w:w="2016"/>
            <w:tcMar>
              <w:top w:w="80" w:type="dxa"/>
              <w:bottom w:w="80" w:type="dxa"/>
              <w:left w:w="100" w:type="dxa"/>
              <w:right w:w="100" w:type="dxa"/>
            </w:tcMar>
            <w:shd w:val="clear" w:color="auto" w:fill="EAEAEA"/>
            <w:vAlign w:val="center"/>
          </w:tcPr>
          <w:p>
            <w:pPr>
              <w:spacing w:before="40" w:after="40"/>
              <w:jc w:val="center"/>
            </w:pPr>
            <w:r>
              <w:rPr>
                <w:rFonts w:ascii="Times New Roman" w:hAnsi="Times New Roman"/>
                <w:b/>
                <w:sz w:val="18"/>
              </w:rPr>
              <w:t>Closed-Form Heuristic AI</w:t>
            </w:r>
          </w:p>
        </w:tc>
        <w:tc>
          <w:tcPr>
            <w:tcW w:type="dxa" w:w="1872"/>
            <w:tcMar>
              <w:top w:w="80" w:type="dxa"/>
              <w:bottom w:w="80" w:type="dxa"/>
              <w:left w:w="100" w:type="dxa"/>
              <w:right w:w="100" w:type="dxa"/>
            </w:tcMar>
            <w:shd w:val="clear" w:color="auto" w:fill="EAEAEA"/>
            <w:vAlign w:val="center"/>
          </w:tcPr>
          <w:p>
            <w:pPr>
              <w:spacing w:before="40" w:after="40"/>
              <w:jc w:val="center"/>
            </w:pPr>
            <w:r>
              <w:rPr>
                <w:rFonts w:ascii="Times New Roman" w:hAnsi="Times New Roman"/>
                <w:b/>
                <w:sz w:val="18"/>
              </w:rPr>
              <w:t>DB-Free Concurrency</w:t>
            </w:r>
          </w:p>
        </w:tc>
        <w:tc>
          <w:tcPr>
            <w:tcW w:type="dxa" w:w="1728"/>
            <w:tcMar>
              <w:top w:w="80" w:type="dxa"/>
              <w:bottom w:w="80" w:type="dxa"/>
              <w:left w:w="100" w:type="dxa"/>
              <w:right w:w="100" w:type="dxa"/>
            </w:tcMar>
            <w:shd w:val="clear" w:color="auto" w:fill="EAEAEA"/>
            <w:vAlign w:val="center"/>
          </w:tcPr>
          <w:p>
            <w:pPr>
              <w:spacing w:before="40" w:after="40"/>
              <w:jc w:val="center"/>
            </w:pPr>
            <w:r>
              <w:rPr>
                <w:rFonts w:ascii="Times New Roman" w:hAnsi="Times New Roman"/>
                <w:b/>
                <w:sz w:val="18"/>
              </w:rPr>
              <w:t>Procedural Web Audio</w:t>
            </w:r>
          </w:p>
        </w:tc>
        <w:tc>
          <w:tcPr>
            <w:tcW w:type="dxa" w:w="2016"/>
            <w:tcMar>
              <w:top w:w="80" w:type="dxa"/>
              <w:bottom w:w="80" w:type="dxa"/>
              <w:left w:w="100" w:type="dxa"/>
              <w:right w:w="100" w:type="dxa"/>
            </w:tcMar>
            <w:shd w:val="clear" w:color="auto" w:fill="EAEAEA"/>
            <w:vAlign w:val="center"/>
          </w:tcPr>
          <w:p>
            <w:pPr>
              <w:spacing w:before="40" w:after="40"/>
              <w:jc w:val="center"/>
            </w:pPr>
            <w:r>
              <w:rPr>
                <w:rFonts w:ascii="Times New Roman" w:hAnsi="Times New Roman"/>
                <w:b/>
                <w:sz w:val="18"/>
              </w:rPr>
              <w:t>Domain Context</w:t>
            </w:r>
          </w:p>
        </w:tc>
      </w:tr>
      <w:tr>
        <w:tc>
          <w:tcPr>
            <w:tcW w:type="dxa" w:w="2592"/>
            <w:tcMar>
              <w:top w:w="50" w:type="dxa"/>
              <w:bottom w:w="50" w:type="dxa"/>
              <w:left w:w="80" w:type="dxa"/>
              <w:right w:w="80" w:type="dxa"/>
            </w:tcMar>
            <w:vAlign w:val="center"/>
          </w:tcPr>
          <w:p>
            <w:pPr>
              <w:spacing w:before="20" w:after="20" w:line="252" w:lineRule="auto"/>
            </w:pPr>
            <w:r>
              <w:rPr>
                <w:rFonts w:ascii="Times New Roman" w:hAnsi="Times New Roman"/>
                <w:sz w:val="17"/>
              </w:rPr>
              <w:t>Subiyanto (2026)</w:t>
            </w:r>
          </w:p>
        </w:tc>
        <w:tc>
          <w:tcPr>
            <w:tcW w:type="dxa" w:w="1872"/>
            <w:tcMar>
              <w:top w:w="50" w:type="dxa"/>
              <w:bottom w:w="50" w:type="dxa"/>
              <w:left w:w="80" w:type="dxa"/>
              <w:right w:w="80" w:type="dxa"/>
            </w:tcMar>
            <w:vAlign w:val="center"/>
          </w:tcPr>
          <w:p>
            <w:pPr>
              <w:spacing w:before="20" w:after="20" w:line="252" w:lineRule="auto"/>
            </w:pPr>
            <w:r>
              <w:rPr>
                <w:rFonts w:ascii="Times New Roman" w:hAnsi="Times New Roman"/>
                <w:sz w:val="17"/>
              </w:rPr>
              <w:t>No (Uniform)</w:t>
            </w:r>
          </w:p>
        </w:tc>
        <w:tc>
          <w:tcPr>
            <w:tcW w:type="dxa" w:w="2016"/>
            <w:tcMar>
              <w:top w:w="50" w:type="dxa"/>
              <w:bottom w:w="50" w:type="dxa"/>
              <w:left w:w="80" w:type="dxa"/>
              <w:right w:w="80" w:type="dxa"/>
            </w:tcMar>
            <w:vAlign w:val="center"/>
          </w:tcPr>
          <w:p>
            <w:pPr>
              <w:spacing w:before="20" w:after="20" w:line="252" w:lineRule="auto"/>
            </w:pPr>
            <w:r>
              <w:rPr>
                <w:rFonts w:ascii="Times New Roman" w:hAnsi="Times New Roman"/>
                <w:sz w:val="17"/>
              </w:rPr>
              <w:t>No (Human-only)</w:t>
            </w:r>
          </w:p>
        </w:tc>
        <w:tc>
          <w:tcPr>
            <w:tcW w:type="dxa" w:w="1872"/>
            <w:tcMar>
              <w:top w:w="50" w:type="dxa"/>
              <w:bottom w:w="50" w:type="dxa"/>
              <w:left w:w="80" w:type="dxa"/>
              <w:right w:w="80" w:type="dxa"/>
            </w:tcMar>
            <w:vAlign w:val="center"/>
          </w:tcPr>
          <w:p>
            <w:pPr>
              <w:spacing w:before="20" w:after="20" w:line="252" w:lineRule="auto"/>
            </w:pPr>
            <w:r>
              <w:rPr>
                <w:rFonts w:ascii="Times New Roman" w:hAnsi="Times New Roman"/>
                <w:sz w:val="17"/>
              </w:rPr>
              <w:t>No (Local app)</w:t>
            </w:r>
          </w:p>
        </w:tc>
        <w:tc>
          <w:tcPr>
            <w:tcW w:type="dxa" w:w="1728"/>
            <w:tcMar>
              <w:top w:w="50" w:type="dxa"/>
              <w:bottom w:w="50" w:type="dxa"/>
              <w:left w:w="80" w:type="dxa"/>
              <w:right w:w="80" w:type="dxa"/>
            </w:tcMar>
            <w:vAlign w:val="center"/>
          </w:tcPr>
          <w:p>
            <w:pPr>
              <w:spacing w:before="20" w:after="20" w:line="252" w:lineRule="auto"/>
            </w:pPr>
            <w:r>
              <w:rPr>
                <w:rFonts w:ascii="Times New Roman" w:hAnsi="Times New Roman"/>
                <w:sz w:val="17"/>
              </w:rPr>
              <w:t>No (Static files)</w:t>
            </w:r>
          </w:p>
        </w:tc>
        <w:tc>
          <w:tcPr>
            <w:tcW w:type="dxa" w:w="2016"/>
            <w:tcMar>
              <w:top w:w="50" w:type="dxa"/>
              <w:bottom w:w="50" w:type="dxa"/>
              <w:left w:w="80" w:type="dxa"/>
              <w:right w:w="80" w:type="dxa"/>
            </w:tcMar>
            <w:vAlign w:val="center"/>
          </w:tcPr>
          <w:p>
            <w:pPr>
              <w:spacing w:before="20" w:after="20" w:line="252" w:lineRule="auto"/>
            </w:pPr>
            <w:r>
              <w:rPr>
                <w:rFonts w:ascii="Times New Roman" w:hAnsi="Times New Roman"/>
                <w:sz w:val="17"/>
              </w:rPr>
              <w:t>Family Board Game</w:t>
            </w:r>
          </w:p>
        </w:tc>
      </w:tr>
      <w:tr>
        <w:tc>
          <w:tcPr>
            <w:tcW w:type="dxa" w:w="2592"/>
            <w:tcMar>
              <w:top w:w="50" w:type="dxa"/>
              <w:bottom w:w="50" w:type="dxa"/>
              <w:left w:w="80" w:type="dxa"/>
              <w:right w:w="80" w:type="dxa"/>
            </w:tcMar>
            <w:vAlign w:val="center"/>
          </w:tcPr>
          <w:p>
            <w:pPr>
              <w:spacing w:before="20" w:after="20" w:line="252" w:lineRule="auto"/>
            </w:pPr>
            <w:r>
              <w:rPr>
                <w:rFonts w:ascii="Times New Roman" w:hAnsi="Times New Roman"/>
                <w:sz w:val="17"/>
              </w:rPr>
              <w:t>Herrero et al. (2026)</w:t>
            </w:r>
          </w:p>
        </w:tc>
        <w:tc>
          <w:tcPr>
            <w:tcW w:type="dxa" w:w="1872"/>
            <w:tcMar>
              <w:top w:w="50" w:type="dxa"/>
              <w:bottom w:w="50" w:type="dxa"/>
              <w:left w:w="80" w:type="dxa"/>
              <w:right w:w="80" w:type="dxa"/>
            </w:tcMar>
            <w:vAlign w:val="center"/>
          </w:tcPr>
          <w:p>
            <w:pPr>
              <w:spacing w:before="20" w:after="20" w:line="252" w:lineRule="auto"/>
            </w:pPr>
            <w:r>
              <w:rPr>
                <w:rFonts w:ascii="Times New Roman" w:hAnsi="Times New Roman"/>
                <w:sz w:val="17"/>
              </w:rPr>
              <w:t>No (Theoretical)</w:t>
            </w:r>
          </w:p>
        </w:tc>
        <w:tc>
          <w:tcPr>
            <w:tcW w:type="dxa" w:w="2016"/>
            <w:tcMar>
              <w:top w:w="50" w:type="dxa"/>
              <w:bottom w:w="50" w:type="dxa"/>
              <w:left w:w="80" w:type="dxa"/>
              <w:right w:w="80" w:type="dxa"/>
            </w:tcMar>
            <w:vAlign w:val="center"/>
          </w:tcPr>
          <w:p>
            <w:pPr>
              <w:spacing w:before="20" w:after="20" w:line="252" w:lineRule="auto"/>
            </w:pPr>
            <w:r>
              <w:rPr>
                <w:rFonts w:ascii="Times New Roman" w:hAnsi="Times New Roman"/>
                <w:sz w:val="17"/>
              </w:rPr>
              <w:t>No (Historical)</w:t>
            </w:r>
          </w:p>
        </w:tc>
        <w:tc>
          <w:tcPr>
            <w:tcW w:type="dxa" w:w="1872"/>
            <w:tcMar>
              <w:top w:w="50" w:type="dxa"/>
              <w:bottom w:w="50" w:type="dxa"/>
              <w:left w:w="80" w:type="dxa"/>
              <w:right w:w="80" w:type="dxa"/>
            </w:tcMar>
            <w:vAlign w:val="center"/>
          </w:tcPr>
          <w:p>
            <w:pPr>
              <w:spacing w:before="20" w:after="20" w:line="252" w:lineRule="auto"/>
            </w:pPr>
            <w:r>
              <w:rPr>
                <w:rFonts w:ascii="Times New Roman" w:hAnsi="Times New Roman"/>
                <w:sz w:val="17"/>
              </w:rPr>
              <w:t>No (N/A)</w:t>
            </w:r>
          </w:p>
        </w:tc>
        <w:tc>
          <w:tcPr>
            <w:tcW w:type="dxa" w:w="1728"/>
            <w:tcMar>
              <w:top w:w="50" w:type="dxa"/>
              <w:bottom w:w="50" w:type="dxa"/>
              <w:left w:w="80" w:type="dxa"/>
              <w:right w:w="80" w:type="dxa"/>
            </w:tcMar>
            <w:vAlign w:val="center"/>
          </w:tcPr>
          <w:p>
            <w:pPr>
              <w:spacing w:before="20" w:after="20" w:line="252" w:lineRule="auto"/>
            </w:pPr>
            <w:r>
              <w:rPr>
                <w:rFonts w:ascii="Times New Roman" w:hAnsi="Times New Roman"/>
                <w:sz w:val="17"/>
              </w:rPr>
              <w:t>No (N/A)</w:t>
            </w:r>
          </w:p>
        </w:tc>
        <w:tc>
          <w:tcPr>
            <w:tcW w:type="dxa" w:w="2016"/>
            <w:tcMar>
              <w:top w:w="50" w:type="dxa"/>
              <w:bottom w:w="50" w:type="dxa"/>
              <w:left w:w="80" w:type="dxa"/>
              <w:right w:w="80" w:type="dxa"/>
            </w:tcMar>
            <w:vAlign w:val="center"/>
          </w:tcPr>
          <w:p>
            <w:pPr>
              <w:spacing w:before="20" w:after="20" w:line="252" w:lineRule="auto"/>
            </w:pPr>
            <w:r>
              <w:rPr>
                <w:rFonts w:ascii="Times New Roman" w:hAnsi="Times New Roman"/>
                <w:sz w:val="17"/>
              </w:rPr>
              <w:t>Cultural Analysis</w:t>
            </w:r>
          </w:p>
        </w:tc>
      </w:tr>
      <w:tr>
        <w:tc>
          <w:tcPr>
            <w:tcW w:type="dxa" w:w="2592"/>
            <w:tcMar>
              <w:top w:w="50" w:type="dxa"/>
              <w:bottom w:w="50" w:type="dxa"/>
              <w:left w:w="80" w:type="dxa"/>
              <w:right w:w="80" w:type="dxa"/>
            </w:tcMar>
            <w:vAlign w:val="center"/>
          </w:tcPr>
          <w:p>
            <w:pPr>
              <w:spacing w:before="20" w:after="20" w:line="252" w:lineRule="auto"/>
            </w:pPr>
            <w:r>
              <w:rPr>
                <w:rFonts w:ascii="Times New Roman" w:hAnsi="Times New Roman"/>
                <w:sz w:val="17"/>
              </w:rPr>
              <w:t>Ramadhan et al. (2024)</w:t>
            </w:r>
          </w:p>
        </w:tc>
        <w:tc>
          <w:tcPr>
            <w:tcW w:type="dxa" w:w="1872"/>
            <w:tcMar>
              <w:top w:w="50" w:type="dxa"/>
              <w:bottom w:w="50" w:type="dxa"/>
              <w:left w:w="80" w:type="dxa"/>
              <w:right w:w="80" w:type="dxa"/>
            </w:tcMar>
            <w:vAlign w:val="center"/>
          </w:tcPr>
          <w:p>
            <w:pPr>
              <w:spacing w:before="20" w:after="20" w:line="252" w:lineRule="auto"/>
            </w:pPr>
            <w:r>
              <w:rPr>
                <w:rFonts w:ascii="Times New Roman" w:hAnsi="Times New Roman"/>
                <w:sz w:val="17"/>
              </w:rPr>
              <w:t>No (Uniform)</w:t>
            </w:r>
          </w:p>
        </w:tc>
        <w:tc>
          <w:tcPr>
            <w:tcW w:type="dxa" w:w="2016"/>
            <w:tcMar>
              <w:top w:w="50" w:type="dxa"/>
              <w:bottom w:w="50" w:type="dxa"/>
              <w:left w:w="80" w:type="dxa"/>
              <w:right w:w="80" w:type="dxa"/>
            </w:tcMar>
            <w:vAlign w:val="center"/>
          </w:tcPr>
          <w:p>
            <w:pPr>
              <w:spacing w:before="20" w:after="20" w:line="252" w:lineRule="auto"/>
            </w:pPr>
            <w:r>
              <w:rPr>
                <w:rFonts w:ascii="Times New Roman" w:hAnsi="Times New Roman"/>
                <w:sz w:val="17"/>
              </w:rPr>
              <w:t>No (Rule script)</w:t>
            </w:r>
          </w:p>
        </w:tc>
        <w:tc>
          <w:tcPr>
            <w:tcW w:type="dxa" w:w="1872"/>
            <w:tcMar>
              <w:top w:w="50" w:type="dxa"/>
              <w:bottom w:w="50" w:type="dxa"/>
              <w:left w:w="80" w:type="dxa"/>
              <w:right w:w="80" w:type="dxa"/>
            </w:tcMar>
            <w:vAlign w:val="center"/>
          </w:tcPr>
          <w:p>
            <w:pPr>
              <w:spacing w:before="20" w:after="20" w:line="252" w:lineRule="auto"/>
            </w:pPr>
            <w:r>
              <w:rPr>
                <w:rFonts w:ascii="Times New Roman" w:hAnsi="Times New Roman"/>
                <w:sz w:val="17"/>
              </w:rPr>
              <w:t>No (MySQL DB)</w:t>
            </w:r>
          </w:p>
        </w:tc>
        <w:tc>
          <w:tcPr>
            <w:tcW w:type="dxa" w:w="1728"/>
            <w:tcMar>
              <w:top w:w="50" w:type="dxa"/>
              <w:bottom w:w="50" w:type="dxa"/>
              <w:left w:w="80" w:type="dxa"/>
              <w:right w:w="80" w:type="dxa"/>
            </w:tcMar>
            <w:vAlign w:val="center"/>
          </w:tcPr>
          <w:p>
            <w:pPr>
              <w:spacing w:before="20" w:after="20" w:line="252" w:lineRule="auto"/>
            </w:pPr>
            <w:r>
              <w:rPr>
                <w:rFonts w:ascii="Times New Roman" w:hAnsi="Times New Roman"/>
                <w:sz w:val="17"/>
              </w:rPr>
              <w:t>No (Audio files)</w:t>
            </w:r>
          </w:p>
        </w:tc>
        <w:tc>
          <w:tcPr>
            <w:tcW w:type="dxa" w:w="2016"/>
            <w:tcMar>
              <w:top w:w="50" w:type="dxa"/>
              <w:bottom w:w="50" w:type="dxa"/>
              <w:left w:w="80" w:type="dxa"/>
              <w:right w:w="80" w:type="dxa"/>
            </w:tcMar>
            <w:vAlign w:val="center"/>
          </w:tcPr>
          <w:p>
            <w:pPr>
              <w:spacing w:before="20" w:after="20" w:line="252" w:lineRule="auto"/>
            </w:pPr>
            <w:r>
              <w:rPr>
                <w:rFonts w:ascii="Times New Roman" w:hAnsi="Times New Roman"/>
                <w:sz w:val="17"/>
              </w:rPr>
              <w:t>Math Puzzle Web</w:t>
            </w:r>
          </w:p>
        </w:tc>
      </w:tr>
      <w:tr>
        <w:tc>
          <w:tcPr>
            <w:tcW w:type="dxa" w:w="2592"/>
            <w:tcMar>
              <w:top w:w="50" w:type="dxa"/>
              <w:bottom w:w="50" w:type="dxa"/>
              <w:left w:w="80" w:type="dxa"/>
              <w:right w:w="80" w:type="dxa"/>
            </w:tcMar>
            <w:vAlign w:val="center"/>
          </w:tcPr>
          <w:p>
            <w:pPr>
              <w:spacing w:before="20" w:after="20" w:line="252" w:lineRule="auto"/>
            </w:pPr>
            <w:r>
              <w:rPr>
                <w:rFonts w:ascii="Times New Roman" w:hAnsi="Times New Roman"/>
                <w:sz w:val="17"/>
              </w:rPr>
              <w:t>Mohamad et al. (2026)</w:t>
            </w:r>
          </w:p>
        </w:tc>
        <w:tc>
          <w:tcPr>
            <w:tcW w:type="dxa" w:w="1872"/>
            <w:tcMar>
              <w:top w:w="50" w:type="dxa"/>
              <w:bottom w:w="50" w:type="dxa"/>
              <w:left w:w="80" w:type="dxa"/>
              <w:right w:w="80" w:type="dxa"/>
            </w:tcMar>
            <w:vAlign w:val="center"/>
          </w:tcPr>
          <w:p>
            <w:pPr>
              <w:spacing w:before="20" w:after="20" w:line="252" w:lineRule="auto"/>
            </w:pPr>
            <w:r>
              <w:rPr>
                <w:rFonts w:ascii="Times New Roman" w:hAnsi="Times New Roman"/>
                <w:sz w:val="17"/>
              </w:rPr>
              <w:t>No (Uniform)</w:t>
            </w:r>
          </w:p>
        </w:tc>
        <w:tc>
          <w:tcPr>
            <w:tcW w:type="dxa" w:w="2016"/>
            <w:tcMar>
              <w:top w:w="50" w:type="dxa"/>
              <w:bottom w:w="50" w:type="dxa"/>
              <w:left w:w="80" w:type="dxa"/>
              <w:right w:w="80" w:type="dxa"/>
            </w:tcMar>
            <w:vAlign w:val="center"/>
          </w:tcPr>
          <w:p>
            <w:pPr>
              <w:spacing w:before="20" w:after="20" w:line="252" w:lineRule="auto"/>
            </w:pPr>
            <w:r>
              <w:rPr>
                <w:rFonts w:ascii="Times New Roman" w:hAnsi="Times New Roman"/>
                <w:sz w:val="17"/>
              </w:rPr>
              <w:t>No (PVP only)</w:t>
            </w:r>
          </w:p>
        </w:tc>
        <w:tc>
          <w:tcPr>
            <w:tcW w:type="dxa" w:w="1872"/>
            <w:tcMar>
              <w:top w:w="50" w:type="dxa"/>
              <w:bottom w:w="50" w:type="dxa"/>
              <w:left w:w="80" w:type="dxa"/>
              <w:right w:w="80" w:type="dxa"/>
            </w:tcMar>
            <w:vAlign w:val="center"/>
          </w:tcPr>
          <w:p>
            <w:pPr>
              <w:spacing w:before="20" w:after="20" w:line="252" w:lineRule="auto"/>
            </w:pPr>
            <w:r>
              <w:rPr>
                <w:rFonts w:ascii="Times New Roman" w:hAnsi="Times New Roman"/>
                <w:sz w:val="17"/>
              </w:rPr>
              <w:t>No (WebSocket DB)</w:t>
            </w:r>
          </w:p>
        </w:tc>
        <w:tc>
          <w:tcPr>
            <w:tcW w:type="dxa" w:w="1728"/>
            <w:tcMar>
              <w:top w:w="50" w:type="dxa"/>
              <w:bottom w:w="50" w:type="dxa"/>
              <w:left w:w="80" w:type="dxa"/>
              <w:right w:w="80" w:type="dxa"/>
            </w:tcMar>
            <w:vAlign w:val="center"/>
          </w:tcPr>
          <w:p>
            <w:pPr>
              <w:spacing w:before="20" w:after="20" w:line="252" w:lineRule="auto"/>
            </w:pPr>
            <w:r>
              <w:rPr>
                <w:rFonts w:ascii="Times New Roman" w:hAnsi="Times New Roman"/>
                <w:sz w:val="17"/>
              </w:rPr>
              <w:t>No (Static assets)</w:t>
            </w:r>
          </w:p>
        </w:tc>
        <w:tc>
          <w:tcPr>
            <w:tcW w:type="dxa" w:w="2016"/>
            <w:tcMar>
              <w:top w:w="50" w:type="dxa"/>
              <w:bottom w:w="50" w:type="dxa"/>
              <w:left w:w="80" w:type="dxa"/>
              <w:right w:w="80" w:type="dxa"/>
            </w:tcMar>
            <w:vAlign w:val="center"/>
          </w:tcPr>
          <w:p>
            <w:pPr>
              <w:spacing w:before="20" w:after="20" w:line="252" w:lineRule="auto"/>
            </w:pPr>
            <w:r>
              <w:rPr>
                <w:rFonts w:ascii="Times New Roman" w:hAnsi="Times New Roman"/>
                <w:sz w:val="17"/>
              </w:rPr>
              <w:t>Math Multiplayer</w:t>
            </w:r>
          </w:p>
        </w:tc>
      </w:tr>
      <w:tr>
        <w:tc>
          <w:tcPr>
            <w:tcW w:type="dxa" w:w="2592"/>
            <w:tcMar>
              <w:top w:w="50" w:type="dxa"/>
              <w:bottom w:w="50" w:type="dxa"/>
              <w:left w:w="80" w:type="dxa"/>
              <w:right w:w="80" w:type="dxa"/>
            </w:tcMar>
            <w:vAlign w:val="center"/>
          </w:tcPr>
          <w:p>
            <w:pPr>
              <w:spacing w:before="20" w:after="20" w:line="252" w:lineRule="auto"/>
            </w:pPr>
            <w:r>
              <w:rPr>
                <w:rFonts w:ascii="Times New Roman" w:hAnsi="Times New Roman"/>
                <w:sz w:val="17"/>
              </w:rPr>
              <w:t>Parihar &amp; S. M. (2024)</w:t>
            </w:r>
          </w:p>
        </w:tc>
        <w:tc>
          <w:tcPr>
            <w:tcW w:type="dxa" w:w="1872"/>
            <w:tcMar>
              <w:top w:w="50" w:type="dxa"/>
              <w:bottom w:w="50" w:type="dxa"/>
              <w:left w:w="80" w:type="dxa"/>
              <w:right w:w="80" w:type="dxa"/>
            </w:tcMar>
            <w:vAlign w:val="center"/>
          </w:tcPr>
          <w:p>
            <w:pPr>
              <w:spacing w:before="20" w:after="20" w:line="252" w:lineRule="auto"/>
            </w:pPr>
            <w:r>
              <w:rPr>
                <w:rFonts w:ascii="Times New Roman" w:hAnsi="Times New Roman"/>
                <w:sz w:val="17"/>
              </w:rPr>
              <w:t>No (Uniform)</w:t>
            </w:r>
          </w:p>
        </w:tc>
        <w:tc>
          <w:tcPr>
            <w:tcW w:type="dxa" w:w="2016"/>
            <w:tcMar>
              <w:top w:w="50" w:type="dxa"/>
              <w:bottom w:w="50" w:type="dxa"/>
              <w:left w:w="80" w:type="dxa"/>
              <w:right w:w="80" w:type="dxa"/>
            </w:tcMar>
            <w:vAlign w:val="center"/>
          </w:tcPr>
          <w:p>
            <w:pPr>
              <w:spacing w:before="20" w:after="20" w:line="252" w:lineRule="auto"/>
            </w:pPr>
            <w:r>
              <w:rPr>
                <w:rFonts w:ascii="Times New Roman" w:hAnsi="Times New Roman"/>
                <w:sz w:val="17"/>
              </w:rPr>
              <w:t>Yes (Deep RL / Heavy)</w:t>
            </w:r>
          </w:p>
        </w:tc>
        <w:tc>
          <w:tcPr>
            <w:tcW w:type="dxa" w:w="1872"/>
            <w:tcMar>
              <w:top w:w="50" w:type="dxa"/>
              <w:bottom w:w="50" w:type="dxa"/>
              <w:left w:w="80" w:type="dxa"/>
              <w:right w:w="80" w:type="dxa"/>
            </w:tcMar>
            <w:vAlign w:val="center"/>
          </w:tcPr>
          <w:p>
            <w:pPr>
              <w:spacing w:before="20" w:after="20" w:line="252" w:lineRule="auto"/>
            </w:pPr>
            <w:r>
              <w:rPr>
                <w:rFonts w:ascii="Times New Roman" w:hAnsi="Times New Roman"/>
                <w:sz w:val="17"/>
              </w:rPr>
              <w:t>No (Local Python)</w:t>
            </w:r>
          </w:p>
        </w:tc>
        <w:tc>
          <w:tcPr>
            <w:tcW w:type="dxa" w:w="1728"/>
            <w:tcMar>
              <w:top w:w="50" w:type="dxa"/>
              <w:bottom w:w="50" w:type="dxa"/>
              <w:left w:w="80" w:type="dxa"/>
              <w:right w:w="80" w:type="dxa"/>
            </w:tcMar>
            <w:vAlign w:val="center"/>
          </w:tcPr>
          <w:p>
            <w:pPr>
              <w:spacing w:before="20" w:after="20" w:line="252" w:lineRule="auto"/>
            </w:pPr>
            <w:r>
              <w:rPr>
                <w:rFonts w:ascii="Times New Roman" w:hAnsi="Times New Roman"/>
                <w:sz w:val="17"/>
              </w:rPr>
              <w:t>No (None)</w:t>
            </w:r>
          </w:p>
        </w:tc>
        <w:tc>
          <w:tcPr>
            <w:tcW w:type="dxa" w:w="2016"/>
            <w:tcMar>
              <w:top w:w="50" w:type="dxa"/>
              <w:bottom w:w="50" w:type="dxa"/>
              <w:left w:w="80" w:type="dxa"/>
              <w:right w:w="80" w:type="dxa"/>
            </w:tcMar>
            <w:vAlign w:val="center"/>
          </w:tcPr>
          <w:p>
            <w:pPr>
              <w:spacing w:before="20" w:after="20" w:line="252" w:lineRule="auto"/>
            </w:pPr>
            <w:r>
              <w:rPr>
                <w:rFonts w:ascii="Times New Roman" w:hAnsi="Times New Roman"/>
                <w:sz w:val="17"/>
              </w:rPr>
              <w:t>Canonical Monopoly</w:t>
            </w:r>
          </w:p>
        </w:tc>
      </w:tr>
      <w:tr>
        <w:tc>
          <w:tcPr>
            <w:tcW w:type="dxa" w:w="2592"/>
            <w:tcMar>
              <w:top w:w="50" w:type="dxa"/>
              <w:bottom w:w="50" w:type="dxa"/>
              <w:left w:w="80" w:type="dxa"/>
              <w:right w:w="80" w:type="dxa"/>
            </w:tcMar>
            <w:vAlign w:val="center"/>
          </w:tcPr>
          <w:p>
            <w:pPr>
              <w:spacing w:before="20" w:after="20" w:line="252" w:lineRule="auto"/>
            </w:pPr>
            <w:r>
              <w:rPr>
                <w:rFonts w:ascii="Times New Roman" w:hAnsi="Times New Roman"/>
                <w:sz w:val="17"/>
              </w:rPr>
              <w:t>This Study (Proposed)</w:t>
            </w:r>
          </w:p>
        </w:tc>
        <w:tc>
          <w:tcPr>
            <w:tcW w:type="dxa" w:w="1872"/>
            <w:tcMar>
              <w:top w:w="50" w:type="dxa"/>
              <w:bottom w:w="50" w:type="dxa"/>
              <w:left w:w="80" w:type="dxa"/>
              <w:right w:w="80" w:type="dxa"/>
            </w:tcMar>
            <w:vAlign w:val="center"/>
          </w:tcPr>
          <w:p>
            <w:pPr>
              <w:spacing w:before="20" w:after="20" w:line="252" w:lineRule="auto"/>
            </w:pPr>
            <w:r>
              <w:rPr>
                <w:rFonts w:ascii="Times New Roman" w:hAnsi="Times New Roman"/>
                <w:sz w:val="17"/>
              </w:rPr>
              <w:t>Yes (S_max &lt;= 2)</w:t>
            </w:r>
          </w:p>
        </w:tc>
        <w:tc>
          <w:tcPr>
            <w:tcW w:type="dxa" w:w="2016"/>
            <w:tcMar>
              <w:top w:w="50" w:type="dxa"/>
              <w:bottom w:w="50" w:type="dxa"/>
              <w:left w:w="80" w:type="dxa"/>
              <w:right w:w="80" w:type="dxa"/>
            </w:tcMar>
            <w:vAlign w:val="center"/>
          </w:tcPr>
          <w:p>
            <w:pPr>
              <w:spacing w:before="20" w:after="20" w:line="252" w:lineRule="auto"/>
            </w:pPr>
            <w:r>
              <w:rPr>
                <w:rFonts w:ascii="Times New Roman" w:hAnsi="Times New Roman"/>
                <w:sz w:val="17"/>
              </w:rPr>
              <w:t>Yes (&lt;0.3 ms Heuristic)</w:t>
            </w:r>
          </w:p>
        </w:tc>
        <w:tc>
          <w:tcPr>
            <w:tcW w:type="dxa" w:w="1872"/>
            <w:tcMar>
              <w:top w:w="50" w:type="dxa"/>
              <w:bottom w:w="50" w:type="dxa"/>
              <w:left w:w="80" w:type="dxa"/>
              <w:right w:w="80" w:type="dxa"/>
            </w:tcMar>
            <w:vAlign w:val="center"/>
          </w:tcPr>
          <w:p>
            <w:pPr>
              <w:spacing w:before="20" w:after="20" w:line="252" w:lineRule="auto"/>
            </w:pPr>
            <w:r>
              <w:rPr>
                <w:rFonts w:ascii="Times New Roman" w:hAnsi="Times New Roman"/>
                <w:sz w:val="17"/>
              </w:rPr>
              <w:t>Yes (flock JSON)</w:t>
            </w:r>
          </w:p>
        </w:tc>
        <w:tc>
          <w:tcPr>
            <w:tcW w:type="dxa" w:w="1728"/>
            <w:tcMar>
              <w:top w:w="50" w:type="dxa"/>
              <w:bottom w:w="50" w:type="dxa"/>
              <w:left w:w="80" w:type="dxa"/>
              <w:right w:w="80" w:type="dxa"/>
            </w:tcMar>
            <w:vAlign w:val="center"/>
          </w:tcPr>
          <w:p>
            <w:pPr>
              <w:spacing w:before="20" w:after="20" w:line="252" w:lineRule="auto"/>
            </w:pPr>
            <w:r>
              <w:rPr>
                <w:rFonts w:ascii="Times New Roman" w:hAnsi="Times New Roman"/>
                <w:sz w:val="17"/>
              </w:rPr>
              <w:t>Yes (Web Audio API)</w:t>
            </w:r>
          </w:p>
        </w:tc>
        <w:tc>
          <w:tcPr>
            <w:tcW w:type="dxa" w:w="2016"/>
            <w:tcMar>
              <w:top w:w="50" w:type="dxa"/>
              <w:bottom w:w="50" w:type="dxa"/>
              <w:left w:w="80" w:type="dxa"/>
              <w:right w:w="80" w:type="dxa"/>
            </w:tcMar>
            <w:vAlign w:val="center"/>
          </w:tcPr>
          <w:p>
            <w:pPr>
              <w:spacing w:before="20" w:after="20" w:line="252" w:lineRule="auto"/>
            </w:pPr>
            <w:r>
              <w:rPr>
                <w:rFonts w:ascii="Times New Roman" w:hAnsi="Times New Roman"/>
                <w:sz w:val="17"/>
              </w:rPr>
              <w:t>Nusantara Economy</w:t>
            </w:r>
          </w:p>
        </w:tc>
      </w:tr>
    </w:tbl>
    <w:p>
      <w:pPr>
        <w:keepNext/>
        <w:spacing w:before="240" w:after="80"/>
        <w:jc w:val="left"/>
      </w:pPr>
      <w:r>
        <w:rPr>
          <w:rFonts w:ascii="Times New Roman" w:hAnsi="Times New Roman"/>
          <w:b/>
          <w:sz w:val="20"/>
        </w:rPr>
        <w:t>METHOD</w:t>
      </w:r>
    </w:p>
    <w:p>
      <w:pPr>
        <w:spacing w:before="0" w:after="80" w:line="276" w:lineRule="auto"/>
        <w:ind w:firstLine="360"/>
        <w:jc w:val="both"/>
      </w:pPr>
      <w:r>
        <w:rPr>
          <w:rFonts w:ascii="Times New Roman" w:hAnsi="Times New Roman"/>
          <w:sz w:val="20"/>
        </w:rPr>
        <w:t>The architectural framework of Nusantara Monopoly follows the Mechanics-Dynamics-Aesthetics paradigm (Hunicke et al., 2004), mapping economic tabletop mechanics onto an archipelagic board layout of forty distinct spaces. The board comprises twenty-two provincial territories divided across eight regional color groups, four transportation hubs, two public utilities, and two tax penalty zones (Badan Pusat Statistik, 2024). Fig. 1 shows the main menu and game configuration interface, while Fig. 2 illustrates the active in-game board layout.</w:t>
      </w:r>
    </w:p>
    <w:p>
      <w:pPr>
        <w:keepNext/>
        <w:spacing w:before="160" w:after="40"/>
        <w:jc w:val="center"/>
      </w:pPr>
      <w:r>
        <w:drawing>
          <wp:inline>
            <wp:extent cx="4023360" cy="1988106"/>
            <wp:docPr id="1" name="Picture 1"/>
            <wp:cNvGraphicFramePr>
              <a:graphicFrameLocks noChangeAspect="1"/>
            </wp:cNvGraphicFramePr>
            <a:graphic>
              <a:graphicData uri="http://schemas.openxmlformats.org/drawingml/2006/picture">
                <pic:pic>
                  <pic:nvPicPr>
                    <pic:cNvPr id="0" name="menu_utama.png"/>
                    <pic:cNvPicPr/>
                  </pic:nvPicPr>
                  <pic:blipFill>
                    <a:blip r:embed="rId16"/>
                    <a:stretch>
                      <a:fillRect/>
                    </a:stretch>
                  </pic:blipFill>
                  <pic:spPr>
                    <a:xfrm>
                      <a:off x="0" y="0"/>
                      <a:ext cx="4023360" cy="1988106"/>
                    </a:xfrm>
                    <a:prstGeom prst="rect"/>
                  </pic:spPr>
                </pic:pic>
              </a:graphicData>
            </a:graphic>
          </wp:inline>
        </w:drawing>
      </w:r>
    </w:p>
    <w:p>
      <w:pPr>
        <w:spacing w:before="40" w:after="160"/>
        <w:jc w:val="center"/>
      </w:pPr>
      <w:r>
        <w:rPr>
          <w:rFonts w:ascii="Times New Roman" w:hAnsi="Times New Roman"/>
          <w:i/>
          <w:sz w:val="18"/>
        </w:rPr>
        <w:t>Fig. 1 Main Menu and Mode Selection Interface</w:t>
      </w:r>
    </w:p>
    <w:p>
      <w:pPr>
        <w:keepNext/>
        <w:spacing w:before="160" w:after="40"/>
        <w:jc w:val="center"/>
      </w:pPr>
      <w:r>
        <w:drawing>
          <wp:inline>
            <wp:extent cx="4023360" cy="2259211"/>
            <wp:docPr id="2" name="Picture 2"/>
            <wp:cNvGraphicFramePr>
              <a:graphicFrameLocks noChangeAspect="1"/>
            </wp:cNvGraphicFramePr>
            <a:graphic>
              <a:graphicData uri="http://schemas.openxmlformats.org/drawingml/2006/picture">
                <pic:pic>
                  <pic:nvPicPr>
                    <pic:cNvPr id="0" name="papan_permainan.png"/>
                    <pic:cNvPicPr/>
                  </pic:nvPicPr>
                  <pic:blipFill>
                    <a:blip r:embed="rId17"/>
                    <a:stretch>
                      <a:fillRect/>
                    </a:stretch>
                  </pic:blipFill>
                  <pic:spPr>
                    <a:xfrm>
                      <a:off x="0" y="0"/>
                      <a:ext cx="4023360" cy="2259211"/>
                    </a:xfrm>
                    <a:prstGeom prst="rect"/>
                  </pic:spPr>
                </pic:pic>
              </a:graphicData>
            </a:graphic>
          </wp:inline>
        </w:drawing>
      </w:r>
    </w:p>
    <w:p>
      <w:pPr>
        <w:spacing w:before="40" w:after="160"/>
        <w:jc w:val="center"/>
      </w:pPr>
      <w:r>
        <w:rPr>
          <w:rFonts w:ascii="Times New Roman" w:hAnsi="Times New Roman"/>
          <w:i/>
          <w:sz w:val="18"/>
        </w:rPr>
        <w:t>Fig. 2 In-Game Interactive Board Interface Featuring Regional Color Clusters</w:t>
      </w:r>
    </w:p>
    <w:p>
      <w:pPr>
        <w:spacing w:before="0" w:after="80" w:line="276" w:lineRule="auto"/>
        <w:ind w:firstLine="360"/>
        <w:jc w:val="both"/>
      </w:pPr>
      <w:r>
        <w:rPr>
          <w:rFonts w:ascii="Times New Roman" w:hAnsi="Times New Roman"/>
          <w:sz w:val="20"/>
        </w:rPr>
        <w:t>State Concurrency Control Algorithm: To enable multi-user game sessions without incurring relational database overhead, the engine incorporates a room-isolated JSON state management architecture. Each active session is assigned an independent ephemeral JSON state document identified by a unique room token. When a player transmits an action through HTTP POST, the backend acquires an exclusive non-blocking advisory file lock via flock(), reads and validates the serialized state data, executes rule transformations, writes the updated JSON payload atomically under LOCK_EX, and releases the lock descriptor. Fig. 3 outlines the client-server synchronization workflow.</w:t>
      </w:r>
    </w:p>
    <w:p>
      <w:pPr>
        <w:keepNext/>
        <w:spacing w:before="160" w:after="40"/>
        <w:jc w:val="center"/>
      </w:pPr>
      <w:r>
        <w:drawing>
          <wp:inline>
            <wp:extent cx="4023360" cy="1834872"/>
            <wp:docPr id="3" name="Picture 3"/>
            <wp:cNvGraphicFramePr>
              <a:graphicFrameLocks noChangeAspect="1"/>
            </wp:cNvGraphicFramePr>
            <a:graphic>
              <a:graphicData uri="http://schemas.openxmlformats.org/drawingml/2006/picture">
                <pic:pic>
                  <pic:nvPicPr>
                    <pic:cNvPr id="0" name="panel_admin.png"/>
                    <pic:cNvPicPr/>
                  </pic:nvPicPr>
                  <pic:blipFill>
                    <a:blip r:embed="rId18"/>
                    <a:stretch>
                      <a:fillRect/>
                    </a:stretch>
                  </pic:blipFill>
                  <pic:spPr>
                    <a:xfrm>
                      <a:off x="0" y="0"/>
                      <a:ext cx="4023360" cy="1834872"/>
                    </a:xfrm>
                    <a:prstGeom prst="rect"/>
                  </pic:spPr>
                </pic:pic>
              </a:graphicData>
            </a:graphic>
          </wp:inline>
        </w:drawing>
      </w:r>
    </w:p>
    <w:p>
      <w:pPr>
        <w:spacing w:before="40" w:after="160"/>
        <w:jc w:val="center"/>
      </w:pPr>
      <w:r>
        <w:rPr>
          <w:rFonts w:ascii="Times New Roman" w:hAnsi="Times New Roman"/>
          <w:i/>
          <w:sz w:val="18"/>
        </w:rPr>
        <w:t>Fig. 3 Server Management and Real-Time Session Synchronization Pipeline</w:t>
      </w:r>
    </w:p>
    <w:p>
      <w:pPr>
        <w:spacing w:before="0" w:after="80" w:line="276" w:lineRule="auto"/>
        <w:ind w:firstLine="360"/>
        <w:jc w:val="both"/>
      </w:pPr>
      <w:r>
        <w:rPr>
          <w:rFonts w:ascii="Times New Roman" w:hAnsi="Times New Roman"/>
          <w:sz w:val="20"/>
        </w:rPr>
        <w:t>Balanced Category-Interleaved Deck Shuffling Algorithm: The game engine utilizes a 50-card event deck system divided into Chance (26 cards) and Community Chest (24 cards). Cards are grouped into four distinct functional categories: profit, penalty, gacha, and special utility. Under unconstrained uniform random drawing, consecutive penalty sequences of three or more cards frequently occur due to stochastic clustering. To prevent this without compromising intra-category randomness, each category subset is shuffled independently using the modern Fisher-Yates algorithm, after which cards are cyclically interleaved into an active draw queue Q following a randomized category rotation. Under this four-category cyclic rotation scheme, consecutive penalty cards can occur only if a penalty card occupies the final position of cycle i and the first position of cycle i+1. Consequently, the maximum possible penalty run is strictly bounded by:</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535"/>
        <w:gridCol w:w="4535"/>
      </w:tblGrid>
      <w:tr>
        <w:tc>
          <w:tcPr>
            <w:tcW w:type="dxa" w:w="8064"/>
          </w:tcPr>
          <w:p>
            <w:pPr>
              <w:spacing w:before="40" w:after="40"/>
              <w:jc w:val="center"/>
            </w:pPr>
            <w:r>
              <w:rPr>
                <w:rFonts w:ascii="Times New Roman" w:hAnsi="Times New Roman"/>
                <w:i/>
                <w:sz w:val="19"/>
              </w:rPr>
              <w:t>S_{penalty}^{max} \le 2</w:t>
            </w:r>
          </w:p>
        </w:tc>
        <w:tc>
          <w:tcPr>
            <w:tcW w:type="dxa" w:w="1152"/>
          </w:tcPr>
          <w:p>
            <w:pPr>
              <w:spacing w:before="40" w:after="40"/>
              <w:jc w:val="right"/>
            </w:pPr>
            <w:r>
              <w:rPr>
                <w:rFonts w:ascii="Times New Roman" w:hAnsi="Times New Roman"/>
                <w:sz w:val="19"/>
              </w:rPr>
              <w:t>(1)</w:t>
            </w:r>
          </w:p>
        </w:tc>
      </w:tr>
    </w:tbl>
    <w:p>
      <w:pPr>
        <w:spacing w:before="0" w:after="80" w:line="276" w:lineRule="auto"/>
        <w:ind w:firstLine="360"/>
        <w:jc w:val="both"/>
      </w:pPr>
      <w:r>
        <w:rPr>
          <w:rFonts w:ascii="Times New Roman" w:hAnsi="Times New Roman"/>
          <w:sz w:val="20"/>
        </w:rPr>
        <w:t>This mathematical formulation ensures that penalty runs of three or more cards have zero probability of occurrence (P(S &gt;= 3) = 0), establishing controlled stochastic pacing while preserving permutation entropy within each category partition.</w:t>
      </w:r>
    </w:p>
    <w:p>
      <w:pPr>
        <w:spacing w:before="0" w:after="80" w:line="276" w:lineRule="auto"/>
        <w:ind w:firstLine="360"/>
        <w:jc w:val="both"/>
      </w:pPr>
      <w:r>
        <w:rPr>
          <w:rFonts w:ascii="Times New Roman" w:hAnsi="Times New Roman"/>
          <w:sz w:val="20"/>
        </w:rPr>
        <w:t>Autonomous Heuristic AI Decision Model: The autonomous agent evaluates strategic investment opportunities through closed-form algebraic equations rather than exhaustive tree traversal. When considering the acquisition of an unowned property with price C_p, the agent completes the transaction only if its post-purchase capital exceeds a risk-adjusted dynamic liquidity threshold:</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535"/>
        <w:gridCol w:w="4535"/>
      </w:tblGrid>
      <w:tr>
        <w:tc>
          <w:tcPr>
            <w:tcW w:type="dxa" w:w="8064"/>
          </w:tcPr>
          <w:p>
            <w:pPr>
              <w:spacing w:before="40" w:after="40"/>
              <w:jc w:val="center"/>
            </w:pPr>
            <w:r>
              <w:rPr>
                <w:rFonts w:ascii="Times New Roman" w:hAnsi="Times New Roman"/>
                <w:i/>
                <w:sz w:val="19"/>
              </w:rPr>
              <w:t>Cash_{current} - C_p \ge B_{safe}(p)</w:t>
            </w:r>
          </w:p>
        </w:tc>
        <w:tc>
          <w:tcPr>
            <w:tcW w:type="dxa" w:w="1152"/>
          </w:tcPr>
          <w:p>
            <w:pPr>
              <w:spacing w:before="40" w:after="40"/>
              <w:jc w:val="right"/>
            </w:pPr>
            <w:r>
              <w:rPr>
                <w:rFonts w:ascii="Times New Roman" w:hAnsi="Times New Roman"/>
                <w:sz w:val="19"/>
              </w:rPr>
              <w:t>(2)</w:t>
            </w:r>
          </w:p>
        </w:tc>
      </w:tr>
    </w:tbl>
    <w:p>
      <w:pPr>
        <w:spacing w:before="0" w:after="80" w:line="276" w:lineRule="auto"/>
        <w:ind w:firstLine="360"/>
        <w:jc w:val="both"/>
      </w:pPr>
      <w:r>
        <w:rPr>
          <w:rFonts w:ascii="Times New Roman" w:hAnsi="Times New Roman"/>
          <w:sz w:val="20"/>
        </w:rPr>
        <w:t>where the dynamic cash reserve threshold B_{safe}(p) is computed as:</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535"/>
        <w:gridCol w:w="4535"/>
      </w:tblGrid>
      <w:tr>
        <w:tc>
          <w:tcPr>
            <w:tcW w:type="dxa" w:w="8064"/>
          </w:tcPr>
          <w:p>
            <w:pPr>
              <w:spacing w:before="40" w:after="40"/>
              <w:jc w:val="center"/>
            </w:pPr>
            <w:r>
              <w:rPr>
                <w:rFonts w:ascii="Times New Roman" w:hAnsi="Times New Roman"/>
                <w:i/>
                <w:sz w:val="19"/>
              </w:rPr>
              <w:t>B_{safe}(p) = \frac{B_{base}}{K_{AI} \cdot k_{cluster}}</w:t>
            </w:r>
          </w:p>
        </w:tc>
        <w:tc>
          <w:tcPr>
            <w:tcW w:type="dxa" w:w="1152"/>
          </w:tcPr>
          <w:p>
            <w:pPr>
              <w:spacing w:before="40" w:after="40"/>
              <w:jc w:val="right"/>
            </w:pPr>
            <w:r>
              <w:rPr>
                <w:rFonts w:ascii="Times New Roman" w:hAnsi="Times New Roman"/>
                <w:sz w:val="19"/>
              </w:rPr>
              <w:t>(3)</w:t>
            </w:r>
          </w:p>
        </w:tc>
      </w:tr>
    </w:tbl>
    <w:p>
      <w:pPr>
        <w:spacing w:before="0" w:after="80" w:line="276" w:lineRule="auto"/>
        <w:ind w:firstLine="360"/>
        <w:jc w:val="both"/>
      </w:pPr>
      <w:r>
        <w:rPr>
          <w:rFonts w:ascii="Times New Roman" w:hAnsi="Times New Roman"/>
          <w:sz w:val="20"/>
        </w:rPr>
        <w:t>with base reserve B_{base} = IDR 1,500,000, regional cluster priority factor k_{cluster} in [1.00, 1.30], and monopoly acquisition bonus K_{AI} assigned to 2.5 when the purchase completes an entire provincial color group, and 1.0 otherwise. This heuristic empowers the agent to undertake aggressive capital investments to secure monopolies while preserving adequate cash buffers against opponent rental levies. Fig. 4 illustrates the complete turn loop and AI decision flowchart.</w:t>
      </w:r>
    </w:p>
    <w:p>
      <w:pPr>
        <w:keepNext/>
        <w:spacing w:before="160" w:after="40"/>
        <w:jc w:val="center"/>
      </w:pPr>
      <w:r>
        <w:drawing>
          <wp:inline>
            <wp:extent cx="4023360" cy="5954573"/>
            <wp:docPr id="4" name="Picture 4"/>
            <wp:cNvGraphicFramePr>
              <a:graphicFrameLocks noChangeAspect="1"/>
            </wp:cNvGraphicFramePr>
            <a:graphic>
              <a:graphicData uri="http://schemas.openxmlformats.org/drawingml/2006/picture">
                <pic:pic>
                  <pic:nvPicPr>
                    <pic:cNvPr id="0" name="fig3_activity_diagram_bw.png"/>
                    <pic:cNvPicPr/>
                  </pic:nvPicPr>
                  <pic:blipFill>
                    <a:blip r:embed="rId19"/>
                    <a:stretch>
                      <a:fillRect/>
                    </a:stretch>
                  </pic:blipFill>
                  <pic:spPr>
                    <a:xfrm>
                      <a:off x="0" y="0"/>
                      <a:ext cx="4023360" cy="5954573"/>
                    </a:xfrm>
                    <a:prstGeom prst="rect"/>
                  </pic:spPr>
                </pic:pic>
              </a:graphicData>
            </a:graphic>
          </wp:inline>
        </w:drawing>
      </w:r>
    </w:p>
    <w:p>
      <w:pPr>
        <w:spacing w:before="40" w:after="160"/>
        <w:jc w:val="center"/>
      </w:pPr>
      <w:r>
        <w:rPr>
          <w:rFonts w:ascii="Times New Roman" w:hAnsi="Times New Roman"/>
          <w:i/>
          <w:sz w:val="18"/>
        </w:rPr>
        <w:t>Fig. 4 Turn Loop and Autonomous Heuristic AI Decision Making Activity Diagram</w:t>
      </w:r>
    </w:p>
    <w:p>
      <w:pPr>
        <w:spacing w:before="0" w:after="80" w:line="276" w:lineRule="auto"/>
        <w:ind w:firstLine="360"/>
        <w:jc w:val="both"/>
      </w:pPr>
      <w:r>
        <w:rPr>
          <w:rFonts w:ascii="Times New Roman" w:hAnsi="Times New Roman"/>
          <w:sz w:val="20"/>
        </w:rPr>
        <w:t>Procedural Web Audio Synthesis: To eliminate network bandwidth consumption associated with static audio assets, all sound feedback is procedurally synthesized in real time using the HTML5 Web Audio API (Matuszewski &amp; Rottier, 2023; Zang et al., 2023). Dynamic software oscillators modulate amplitude envelopes according to:</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535"/>
        <w:gridCol w:w="4535"/>
      </w:tblGrid>
      <w:tr>
        <w:tc>
          <w:tcPr>
            <w:tcW w:type="dxa" w:w="8064"/>
          </w:tcPr>
          <w:p>
            <w:pPr>
              <w:spacing w:before="40" w:after="40"/>
              <w:jc w:val="center"/>
            </w:pPr>
            <w:r>
              <w:rPr>
                <w:rFonts w:ascii="Times New Roman" w:hAnsi="Times New Roman"/>
                <w:i/>
                <w:sz w:val="19"/>
              </w:rPr>
              <w:t>A(t) = A_0 \cdot e^{-t / \tau_{decay}}</w:t>
            </w:r>
          </w:p>
        </w:tc>
        <w:tc>
          <w:tcPr>
            <w:tcW w:type="dxa" w:w="1152"/>
          </w:tcPr>
          <w:p>
            <w:pPr>
              <w:spacing w:before="40" w:after="40"/>
              <w:jc w:val="right"/>
            </w:pPr>
            <w:r>
              <w:rPr>
                <w:rFonts w:ascii="Times New Roman" w:hAnsi="Times New Roman"/>
                <w:sz w:val="19"/>
              </w:rPr>
              <w:t>(4)</w:t>
            </w:r>
          </w:p>
        </w:tc>
      </w:tr>
    </w:tbl>
    <w:p>
      <w:pPr>
        <w:spacing w:before="0" w:after="80" w:line="276" w:lineRule="auto"/>
        <w:ind w:firstLine="360"/>
        <w:jc w:val="both"/>
      </w:pPr>
      <w:r>
        <w:rPr>
          <w:rFonts w:ascii="Times New Roman" w:hAnsi="Times New Roman"/>
          <w:sz w:val="20"/>
        </w:rPr>
        <w:t>generating responsive auditory cues for dice rolls, monetary transfers, property purchases, and penalty events without downloading external audio files.</w:t>
      </w:r>
    </w:p>
    <w:p>
      <w:pPr>
        <w:spacing w:before="0" w:after="80" w:line="276" w:lineRule="auto"/>
        <w:ind w:firstLine="360"/>
        <w:jc w:val="both"/>
      </w:pPr>
      <w:r>
        <w:rPr>
          <w:rFonts w:ascii="Times New Roman" w:hAnsi="Times New Roman"/>
          <w:sz w:val="20"/>
        </w:rPr>
        <w:t>Experimental Testbed and Protocol: Concurrency benchmark testing was executed using ApacheBench 2.3 on a dedicated host featuring an Intel Core i7-11800H CPU @ 2.30 GHz (8 cores, 16 threads, 24 MB L3 cache), 16 GB DDR4-3200 memory, and a 512 GB NVMe solid-state drive, running Apache 2.4.58 (Win64) and PHP 8.2.12 with OPcache active. The benchmark evaluated the GET /api/room/status endpoint delivering a 1.82 KB serialized JSON state under advisory file locking. The testing protocol executed 5 independent trials of 1,000 requests across 50 concurrent connections (ab -n 1000 -c 50). Simultaneously, client-side AI calculation latency was evaluated over 10,000 continuous decision cycles using high-resolution performance.now() timers within the Google Chrome V8 JavaScript runtime.</w:t>
      </w:r>
    </w:p>
    <w:p>
      <w:pPr>
        <w:keepNext/>
        <w:spacing w:before="240" w:after="80"/>
        <w:jc w:val="left"/>
      </w:pPr>
      <w:r>
        <w:rPr>
          <w:rFonts w:ascii="Times New Roman" w:hAnsi="Times New Roman"/>
          <w:b/>
          <w:sz w:val="20"/>
        </w:rPr>
        <w:t>RESULT</w:t>
      </w:r>
    </w:p>
    <w:p>
      <w:pPr>
        <w:spacing w:before="0" w:after="80" w:line="276" w:lineRule="auto"/>
        <w:ind w:firstLine="360"/>
        <w:jc w:val="both"/>
      </w:pPr>
      <w:r>
        <w:rPr>
          <w:rFonts w:ascii="Times New Roman" w:hAnsi="Times New Roman"/>
          <w:sz w:val="20"/>
        </w:rPr>
        <w:t>The algorithmic, computational, and usability characteristics of Nusantara Monopoly were evaluated across four empirical benchmark suites.</w:t>
      </w:r>
    </w:p>
    <w:p>
      <w:pPr>
        <w:spacing w:before="0" w:after="80" w:line="276" w:lineRule="auto"/>
        <w:ind w:firstLine="360"/>
        <w:jc w:val="both"/>
      </w:pPr>
      <w:r>
        <w:rPr>
          <w:rFonts w:ascii="Times New Roman" w:hAnsi="Times New Roman"/>
          <w:sz w:val="20"/>
        </w:rPr>
        <w:t>Board Configuration and Event System Metrics: Table 2 lists the financial parameters and rental tier distributions across the 8 provincial color groups. Table 3 breaks down the functional categories and proportionate allocations within the 50-card dual-deck system.</w:t>
      </w:r>
    </w:p>
    <w:p>
      <w:pPr>
        <w:spacing w:before="160" w:after="40"/>
      </w:pPr>
      <w:r>
        <w:rPr>
          <w:rFonts w:ascii="Times New Roman" w:hAnsi="Times New Roman"/>
          <w:b/>
          <w:sz w:val="18"/>
        </w:rPr>
        <w:t>Table 2. Structural Composition and Financial Mechanics of Board Topology and Property Color Clusters</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D3D3D3"/>
        </w:tblBorders>
      </w:tblPr>
      <w:tblGrid>
        <w:gridCol w:w="1814"/>
        <w:gridCol w:w="1814"/>
        <w:gridCol w:w="1814"/>
        <w:gridCol w:w="1814"/>
        <w:gridCol w:w="1814"/>
      </w:tblGrid>
      <w:tr>
        <w:trPr>
          <w:tblHeader/>
        </w:trPr>
        <w:tc>
          <w:tcPr>
            <w:tcW w:type="dxa" w:w="1728"/>
            <w:tcMar>
              <w:top w:w="80" w:type="dxa"/>
              <w:bottom w:w="80" w:type="dxa"/>
              <w:left w:w="100" w:type="dxa"/>
              <w:right w:w="100" w:type="dxa"/>
            </w:tcMar>
            <w:shd w:val="clear" w:color="auto" w:fill="EAEAEA"/>
            <w:vAlign w:val="center"/>
          </w:tcPr>
          <w:p>
            <w:pPr>
              <w:spacing w:before="40" w:after="40"/>
              <w:jc w:val="center"/>
            </w:pPr>
            <w:r>
              <w:rPr>
                <w:rFonts w:ascii="Times New Roman" w:hAnsi="Times New Roman"/>
                <w:b/>
                <w:sz w:val="18"/>
              </w:rPr>
              <w:t>Color Cluster</w:t>
            </w:r>
          </w:p>
        </w:tc>
        <w:tc>
          <w:tcPr>
            <w:tcW w:type="dxa" w:w="2592"/>
            <w:tcMar>
              <w:top w:w="80" w:type="dxa"/>
              <w:bottom w:w="80" w:type="dxa"/>
              <w:left w:w="100" w:type="dxa"/>
              <w:right w:w="100" w:type="dxa"/>
            </w:tcMar>
            <w:shd w:val="clear" w:color="auto" w:fill="EAEAEA"/>
            <w:vAlign w:val="center"/>
          </w:tcPr>
          <w:p>
            <w:pPr>
              <w:spacing w:before="40" w:after="40"/>
              <w:jc w:val="center"/>
            </w:pPr>
            <w:r>
              <w:rPr>
                <w:rFonts w:ascii="Times New Roman" w:hAnsi="Times New Roman"/>
                <w:b/>
                <w:sz w:val="18"/>
              </w:rPr>
              <w:t>Province Count</w:t>
            </w:r>
          </w:p>
        </w:tc>
        <w:tc>
          <w:tcPr>
            <w:tcW w:type="dxa" w:w="2160"/>
            <w:tcMar>
              <w:top w:w="80" w:type="dxa"/>
              <w:bottom w:w="80" w:type="dxa"/>
              <w:left w:w="100" w:type="dxa"/>
              <w:right w:w="100" w:type="dxa"/>
            </w:tcMar>
            <w:shd w:val="clear" w:color="auto" w:fill="EAEAEA"/>
            <w:vAlign w:val="center"/>
          </w:tcPr>
          <w:p>
            <w:pPr>
              <w:spacing w:before="40" w:after="40"/>
              <w:jc w:val="center"/>
            </w:pPr>
            <w:r>
              <w:rPr>
                <w:rFonts w:ascii="Times New Roman" w:hAnsi="Times New Roman"/>
                <w:b/>
                <w:sz w:val="18"/>
              </w:rPr>
              <w:t>Purchase Price Range (IDR)</w:t>
            </w:r>
          </w:p>
        </w:tc>
        <w:tc>
          <w:tcPr>
            <w:tcW w:type="dxa" w:w="2160"/>
            <w:tcMar>
              <w:top w:w="80" w:type="dxa"/>
              <w:bottom w:w="80" w:type="dxa"/>
              <w:left w:w="100" w:type="dxa"/>
              <w:right w:w="100" w:type="dxa"/>
            </w:tcMar>
            <w:shd w:val="clear" w:color="auto" w:fill="EAEAEA"/>
            <w:vAlign w:val="center"/>
          </w:tcPr>
          <w:p>
            <w:pPr>
              <w:spacing w:before="40" w:after="40"/>
              <w:jc w:val="center"/>
            </w:pPr>
            <w:r>
              <w:rPr>
                <w:rFonts w:ascii="Times New Roman" w:hAnsi="Times New Roman"/>
                <w:b/>
                <w:sz w:val="18"/>
              </w:rPr>
              <w:t>Base Rent Range (IDR)</w:t>
            </w:r>
          </w:p>
        </w:tc>
        <w:tc>
          <w:tcPr>
            <w:tcW w:type="dxa" w:w="2160"/>
            <w:tcMar>
              <w:top w:w="80" w:type="dxa"/>
              <w:bottom w:w="80" w:type="dxa"/>
              <w:left w:w="100" w:type="dxa"/>
              <w:right w:w="100" w:type="dxa"/>
            </w:tcMar>
            <w:shd w:val="clear" w:color="auto" w:fill="EAEAEA"/>
            <w:vAlign w:val="center"/>
          </w:tcPr>
          <w:p>
            <w:pPr>
              <w:spacing w:before="40" w:after="40"/>
              <w:jc w:val="center"/>
            </w:pPr>
            <w:r>
              <w:rPr>
                <w:rFonts w:ascii="Times New Roman" w:hAnsi="Times New Roman"/>
                <w:b/>
                <w:sz w:val="18"/>
              </w:rPr>
              <w:t>Hotel Rent Range (IDR)</w:t>
            </w:r>
          </w:p>
        </w:tc>
      </w:tr>
      <w:tr>
        <w:tc>
          <w:tcPr>
            <w:tcW w:type="dxa" w:w="1728"/>
            <w:tcMar>
              <w:top w:w="50" w:type="dxa"/>
              <w:bottom w:w="50" w:type="dxa"/>
              <w:left w:w="80" w:type="dxa"/>
              <w:right w:w="80" w:type="dxa"/>
            </w:tcMar>
            <w:vAlign w:val="center"/>
          </w:tcPr>
          <w:p>
            <w:pPr>
              <w:spacing w:before="20" w:after="20" w:line="252" w:lineRule="auto"/>
            </w:pPr>
            <w:r>
              <w:rPr>
                <w:rFonts w:ascii="Times New Roman" w:hAnsi="Times New Roman"/>
                <w:sz w:val="17"/>
              </w:rPr>
              <w:t>Brown</w:t>
            </w:r>
          </w:p>
        </w:tc>
        <w:tc>
          <w:tcPr>
            <w:tcW w:type="dxa" w:w="2592"/>
            <w:tcMar>
              <w:top w:w="50" w:type="dxa"/>
              <w:bottom w:w="50" w:type="dxa"/>
              <w:left w:w="80" w:type="dxa"/>
              <w:right w:w="80" w:type="dxa"/>
            </w:tcMar>
            <w:vAlign w:val="center"/>
          </w:tcPr>
          <w:p>
            <w:pPr>
              <w:spacing w:before="20" w:after="20" w:line="252" w:lineRule="auto"/>
            </w:pPr>
            <w:r>
              <w:rPr>
                <w:rFonts w:ascii="Times New Roman" w:hAnsi="Times New Roman"/>
                <w:sz w:val="17"/>
              </w:rPr>
              <w:t>2 (Aceh, Sumut)</w:t>
            </w:r>
          </w:p>
        </w:tc>
        <w:tc>
          <w:tcPr>
            <w:tcW w:type="dxa" w:w="2160"/>
            <w:tcMar>
              <w:top w:w="50" w:type="dxa"/>
              <w:bottom w:w="50" w:type="dxa"/>
              <w:left w:w="80" w:type="dxa"/>
              <w:right w:w="80" w:type="dxa"/>
            </w:tcMar>
            <w:vAlign w:val="center"/>
          </w:tcPr>
          <w:p>
            <w:pPr>
              <w:spacing w:before="20" w:after="20" w:line="252" w:lineRule="auto"/>
            </w:pPr>
            <w:r>
              <w:rPr>
                <w:rFonts w:ascii="Times New Roman" w:hAnsi="Times New Roman"/>
                <w:sz w:val="17"/>
              </w:rPr>
              <w:t>600,000</w:t>
            </w:r>
          </w:p>
        </w:tc>
        <w:tc>
          <w:tcPr>
            <w:tcW w:type="dxa" w:w="2160"/>
            <w:tcMar>
              <w:top w:w="50" w:type="dxa"/>
              <w:bottom w:w="50" w:type="dxa"/>
              <w:left w:w="80" w:type="dxa"/>
              <w:right w:w="80" w:type="dxa"/>
            </w:tcMar>
            <w:vAlign w:val="center"/>
          </w:tcPr>
          <w:p>
            <w:pPr>
              <w:spacing w:before="20" w:after="20" w:line="252" w:lineRule="auto"/>
            </w:pPr>
            <w:r>
              <w:rPr>
                <w:rFonts w:ascii="Times New Roman" w:hAnsi="Times New Roman"/>
                <w:sz w:val="17"/>
              </w:rPr>
              <w:t>20,000 – 40,000</w:t>
            </w:r>
          </w:p>
        </w:tc>
        <w:tc>
          <w:tcPr>
            <w:tcW w:type="dxa" w:w="2160"/>
            <w:tcMar>
              <w:top w:w="50" w:type="dxa"/>
              <w:bottom w:w="50" w:type="dxa"/>
              <w:left w:w="80" w:type="dxa"/>
              <w:right w:w="80" w:type="dxa"/>
            </w:tcMar>
            <w:vAlign w:val="center"/>
          </w:tcPr>
          <w:p>
            <w:pPr>
              <w:spacing w:before="20" w:after="20" w:line="252" w:lineRule="auto"/>
            </w:pPr>
            <w:r>
              <w:rPr>
                <w:rFonts w:ascii="Times New Roman" w:hAnsi="Times New Roman"/>
                <w:sz w:val="17"/>
              </w:rPr>
              <w:t>2,500,000 – 4,500,000</w:t>
            </w:r>
          </w:p>
        </w:tc>
      </w:tr>
      <w:tr>
        <w:tc>
          <w:tcPr>
            <w:tcW w:type="dxa" w:w="1728"/>
            <w:tcMar>
              <w:top w:w="50" w:type="dxa"/>
              <w:bottom w:w="50" w:type="dxa"/>
              <w:left w:w="80" w:type="dxa"/>
              <w:right w:w="80" w:type="dxa"/>
            </w:tcMar>
            <w:vAlign w:val="center"/>
          </w:tcPr>
          <w:p>
            <w:pPr>
              <w:spacing w:before="20" w:after="20" w:line="252" w:lineRule="auto"/>
            </w:pPr>
            <w:r>
              <w:rPr>
                <w:rFonts w:ascii="Times New Roman" w:hAnsi="Times New Roman"/>
                <w:sz w:val="17"/>
              </w:rPr>
              <w:t>Light Blue</w:t>
            </w:r>
          </w:p>
        </w:tc>
        <w:tc>
          <w:tcPr>
            <w:tcW w:type="dxa" w:w="2592"/>
            <w:tcMar>
              <w:top w:w="50" w:type="dxa"/>
              <w:bottom w:w="50" w:type="dxa"/>
              <w:left w:w="80" w:type="dxa"/>
              <w:right w:w="80" w:type="dxa"/>
            </w:tcMar>
            <w:vAlign w:val="center"/>
          </w:tcPr>
          <w:p>
            <w:pPr>
              <w:spacing w:before="20" w:after="20" w:line="252" w:lineRule="auto"/>
            </w:pPr>
            <w:r>
              <w:rPr>
                <w:rFonts w:ascii="Times New Roman" w:hAnsi="Times New Roman"/>
                <w:sz w:val="17"/>
              </w:rPr>
              <w:t>3 (Sumbar, Riau, Sumsel)</w:t>
            </w:r>
          </w:p>
        </w:tc>
        <w:tc>
          <w:tcPr>
            <w:tcW w:type="dxa" w:w="2160"/>
            <w:tcMar>
              <w:top w:w="50" w:type="dxa"/>
              <w:bottom w:w="50" w:type="dxa"/>
              <w:left w:w="80" w:type="dxa"/>
              <w:right w:w="80" w:type="dxa"/>
            </w:tcMar>
            <w:vAlign w:val="center"/>
          </w:tcPr>
          <w:p>
            <w:pPr>
              <w:spacing w:before="20" w:after="20" w:line="252" w:lineRule="auto"/>
            </w:pPr>
            <w:r>
              <w:rPr>
                <w:rFonts w:ascii="Times New Roman" w:hAnsi="Times New Roman"/>
                <w:sz w:val="17"/>
              </w:rPr>
              <w:t>1,000,000 – 1,200,000</w:t>
            </w:r>
          </w:p>
        </w:tc>
        <w:tc>
          <w:tcPr>
            <w:tcW w:type="dxa" w:w="2160"/>
            <w:tcMar>
              <w:top w:w="50" w:type="dxa"/>
              <w:bottom w:w="50" w:type="dxa"/>
              <w:left w:w="80" w:type="dxa"/>
              <w:right w:w="80" w:type="dxa"/>
            </w:tcMar>
            <w:vAlign w:val="center"/>
          </w:tcPr>
          <w:p>
            <w:pPr>
              <w:spacing w:before="20" w:after="20" w:line="252" w:lineRule="auto"/>
            </w:pPr>
            <w:r>
              <w:rPr>
                <w:rFonts w:ascii="Times New Roman" w:hAnsi="Times New Roman"/>
                <w:sz w:val="17"/>
              </w:rPr>
              <w:t>60,000 – 80,000</w:t>
            </w:r>
          </w:p>
        </w:tc>
        <w:tc>
          <w:tcPr>
            <w:tcW w:type="dxa" w:w="2160"/>
            <w:tcMar>
              <w:top w:w="50" w:type="dxa"/>
              <w:bottom w:w="50" w:type="dxa"/>
              <w:left w:w="80" w:type="dxa"/>
              <w:right w:w="80" w:type="dxa"/>
            </w:tcMar>
            <w:vAlign w:val="center"/>
          </w:tcPr>
          <w:p>
            <w:pPr>
              <w:spacing w:before="20" w:after="20" w:line="252" w:lineRule="auto"/>
            </w:pPr>
            <w:r>
              <w:rPr>
                <w:rFonts w:ascii="Times New Roman" w:hAnsi="Times New Roman"/>
                <w:sz w:val="17"/>
              </w:rPr>
              <w:t>5,500,000 – 6,000,000</w:t>
            </w:r>
          </w:p>
        </w:tc>
      </w:tr>
      <w:tr>
        <w:tc>
          <w:tcPr>
            <w:tcW w:type="dxa" w:w="1728"/>
            <w:tcMar>
              <w:top w:w="50" w:type="dxa"/>
              <w:bottom w:w="50" w:type="dxa"/>
              <w:left w:w="80" w:type="dxa"/>
              <w:right w:w="80" w:type="dxa"/>
            </w:tcMar>
            <w:vAlign w:val="center"/>
          </w:tcPr>
          <w:p>
            <w:pPr>
              <w:spacing w:before="20" w:after="20" w:line="252" w:lineRule="auto"/>
            </w:pPr>
            <w:r>
              <w:rPr>
                <w:rFonts w:ascii="Times New Roman" w:hAnsi="Times New Roman"/>
                <w:sz w:val="17"/>
              </w:rPr>
              <w:t>Pink</w:t>
            </w:r>
          </w:p>
        </w:tc>
        <w:tc>
          <w:tcPr>
            <w:tcW w:type="dxa" w:w="2592"/>
            <w:tcMar>
              <w:top w:w="50" w:type="dxa"/>
              <w:bottom w:w="50" w:type="dxa"/>
              <w:left w:w="80" w:type="dxa"/>
              <w:right w:w="80" w:type="dxa"/>
            </w:tcMar>
            <w:vAlign w:val="center"/>
          </w:tcPr>
          <w:p>
            <w:pPr>
              <w:spacing w:before="20" w:after="20" w:line="252" w:lineRule="auto"/>
            </w:pPr>
            <w:r>
              <w:rPr>
                <w:rFonts w:ascii="Times New Roman" w:hAnsi="Times New Roman"/>
                <w:sz w:val="17"/>
              </w:rPr>
              <w:t>3 (Lampung, Banten, DKI)</w:t>
            </w:r>
          </w:p>
        </w:tc>
        <w:tc>
          <w:tcPr>
            <w:tcW w:type="dxa" w:w="2160"/>
            <w:tcMar>
              <w:top w:w="50" w:type="dxa"/>
              <w:bottom w:w="50" w:type="dxa"/>
              <w:left w:w="80" w:type="dxa"/>
              <w:right w:w="80" w:type="dxa"/>
            </w:tcMar>
            <w:vAlign w:val="center"/>
          </w:tcPr>
          <w:p>
            <w:pPr>
              <w:spacing w:before="20" w:after="20" w:line="252" w:lineRule="auto"/>
            </w:pPr>
            <w:r>
              <w:rPr>
                <w:rFonts w:ascii="Times New Roman" w:hAnsi="Times New Roman"/>
                <w:sz w:val="17"/>
              </w:rPr>
              <w:t>1,400,000 – 1,600,000</w:t>
            </w:r>
          </w:p>
        </w:tc>
        <w:tc>
          <w:tcPr>
            <w:tcW w:type="dxa" w:w="2160"/>
            <w:tcMar>
              <w:top w:w="50" w:type="dxa"/>
              <w:bottom w:w="50" w:type="dxa"/>
              <w:left w:w="80" w:type="dxa"/>
              <w:right w:w="80" w:type="dxa"/>
            </w:tcMar>
            <w:vAlign w:val="center"/>
          </w:tcPr>
          <w:p>
            <w:pPr>
              <w:spacing w:before="20" w:after="20" w:line="252" w:lineRule="auto"/>
            </w:pPr>
            <w:r>
              <w:rPr>
                <w:rFonts w:ascii="Times New Roman" w:hAnsi="Times New Roman"/>
                <w:sz w:val="17"/>
              </w:rPr>
              <w:t>100,000 – 120,000</w:t>
            </w:r>
          </w:p>
        </w:tc>
        <w:tc>
          <w:tcPr>
            <w:tcW w:type="dxa" w:w="2160"/>
            <w:tcMar>
              <w:top w:w="50" w:type="dxa"/>
              <w:bottom w:w="50" w:type="dxa"/>
              <w:left w:w="80" w:type="dxa"/>
              <w:right w:w="80" w:type="dxa"/>
            </w:tcMar>
            <w:vAlign w:val="center"/>
          </w:tcPr>
          <w:p>
            <w:pPr>
              <w:spacing w:before="20" w:after="20" w:line="252" w:lineRule="auto"/>
            </w:pPr>
            <w:r>
              <w:rPr>
                <w:rFonts w:ascii="Times New Roman" w:hAnsi="Times New Roman"/>
                <w:sz w:val="17"/>
              </w:rPr>
              <w:t>7,500,000 – 9,000,000</w:t>
            </w:r>
          </w:p>
        </w:tc>
      </w:tr>
      <w:tr>
        <w:tc>
          <w:tcPr>
            <w:tcW w:type="dxa" w:w="1728"/>
            <w:tcMar>
              <w:top w:w="50" w:type="dxa"/>
              <w:bottom w:w="50" w:type="dxa"/>
              <w:left w:w="80" w:type="dxa"/>
              <w:right w:w="80" w:type="dxa"/>
            </w:tcMar>
            <w:vAlign w:val="center"/>
          </w:tcPr>
          <w:p>
            <w:pPr>
              <w:spacing w:before="20" w:after="20" w:line="252" w:lineRule="auto"/>
            </w:pPr>
            <w:r>
              <w:rPr>
                <w:rFonts w:ascii="Times New Roman" w:hAnsi="Times New Roman"/>
                <w:sz w:val="17"/>
              </w:rPr>
              <w:t>Orange</w:t>
            </w:r>
          </w:p>
        </w:tc>
        <w:tc>
          <w:tcPr>
            <w:tcW w:type="dxa" w:w="2592"/>
            <w:tcMar>
              <w:top w:w="50" w:type="dxa"/>
              <w:bottom w:w="50" w:type="dxa"/>
              <w:left w:w="80" w:type="dxa"/>
              <w:right w:w="80" w:type="dxa"/>
            </w:tcMar>
            <w:vAlign w:val="center"/>
          </w:tcPr>
          <w:p>
            <w:pPr>
              <w:spacing w:before="20" w:after="20" w:line="252" w:lineRule="auto"/>
            </w:pPr>
            <w:r>
              <w:rPr>
                <w:rFonts w:ascii="Times New Roman" w:hAnsi="Times New Roman"/>
                <w:sz w:val="17"/>
              </w:rPr>
              <w:t>3 (Jabar, Jateng, DIY)</w:t>
            </w:r>
          </w:p>
        </w:tc>
        <w:tc>
          <w:tcPr>
            <w:tcW w:type="dxa" w:w="2160"/>
            <w:tcMar>
              <w:top w:w="50" w:type="dxa"/>
              <w:bottom w:w="50" w:type="dxa"/>
              <w:left w:w="80" w:type="dxa"/>
              <w:right w:w="80" w:type="dxa"/>
            </w:tcMar>
            <w:vAlign w:val="center"/>
          </w:tcPr>
          <w:p>
            <w:pPr>
              <w:spacing w:before="20" w:after="20" w:line="252" w:lineRule="auto"/>
            </w:pPr>
            <w:r>
              <w:rPr>
                <w:rFonts w:ascii="Times New Roman" w:hAnsi="Times New Roman"/>
                <w:sz w:val="17"/>
              </w:rPr>
              <w:t>1,800,000 – 2,000,000</w:t>
            </w:r>
          </w:p>
        </w:tc>
        <w:tc>
          <w:tcPr>
            <w:tcW w:type="dxa" w:w="2160"/>
            <w:tcMar>
              <w:top w:w="50" w:type="dxa"/>
              <w:bottom w:w="50" w:type="dxa"/>
              <w:left w:w="80" w:type="dxa"/>
              <w:right w:w="80" w:type="dxa"/>
            </w:tcMar>
            <w:vAlign w:val="center"/>
          </w:tcPr>
          <w:p>
            <w:pPr>
              <w:spacing w:before="20" w:after="20" w:line="252" w:lineRule="auto"/>
            </w:pPr>
            <w:r>
              <w:rPr>
                <w:rFonts w:ascii="Times New Roman" w:hAnsi="Times New Roman"/>
                <w:sz w:val="17"/>
              </w:rPr>
              <w:t>140,000 – 160,000</w:t>
            </w:r>
          </w:p>
        </w:tc>
        <w:tc>
          <w:tcPr>
            <w:tcW w:type="dxa" w:w="2160"/>
            <w:tcMar>
              <w:top w:w="50" w:type="dxa"/>
              <w:bottom w:w="50" w:type="dxa"/>
              <w:left w:w="80" w:type="dxa"/>
              <w:right w:w="80" w:type="dxa"/>
            </w:tcMar>
            <w:vAlign w:val="center"/>
          </w:tcPr>
          <w:p>
            <w:pPr>
              <w:spacing w:before="20" w:after="20" w:line="252" w:lineRule="auto"/>
            </w:pPr>
            <w:r>
              <w:rPr>
                <w:rFonts w:ascii="Times New Roman" w:hAnsi="Times New Roman"/>
                <w:sz w:val="17"/>
              </w:rPr>
              <w:t>9,500,000 – 10,000,000</w:t>
            </w:r>
          </w:p>
        </w:tc>
      </w:tr>
      <w:tr>
        <w:tc>
          <w:tcPr>
            <w:tcW w:type="dxa" w:w="1728"/>
            <w:tcMar>
              <w:top w:w="50" w:type="dxa"/>
              <w:bottom w:w="50" w:type="dxa"/>
              <w:left w:w="80" w:type="dxa"/>
              <w:right w:w="80" w:type="dxa"/>
            </w:tcMar>
            <w:vAlign w:val="center"/>
          </w:tcPr>
          <w:p>
            <w:pPr>
              <w:spacing w:before="20" w:after="20" w:line="252" w:lineRule="auto"/>
            </w:pPr>
            <w:r>
              <w:rPr>
                <w:rFonts w:ascii="Times New Roman" w:hAnsi="Times New Roman"/>
                <w:sz w:val="17"/>
              </w:rPr>
              <w:t>Red</w:t>
            </w:r>
          </w:p>
        </w:tc>
        <w:tc>
          <w:tcPr>
            <w:tcW w:type="dxa" w:w="2592"/>
            <w:tcMar>
              <w:top w:w="50" w:type="dxa"/>
              <w:bottom w:w="50" w:type="dxa"/>
              <w:left w:w="80" w:type="dxa"/>
              <w:right w:w="80" w:type="dxa"/>
            </w:tcMar>
            <w:vAlign w:val="center"/>
          </w:tcPr>
          <w:p>
            <w:pPr>
              <w:spacing w:before="20" w:after="20" w:line="252" w:lineRule="auto"/>
            </w:pPr>
            <w:r>
              <w:rPr>
                <w:rFonts w:ascii="Times New Roman" w:hAnsi="Times New Roman"/>
                <w:sz w:val="17"/>
              </w:rPr>
              <w:t>3 (Jatim, Bali, NTB)</w:t>
            </w:r>
          </w:p>
        </w:tc>
        <w:tc>
          <w:tcPr>
            <w:tcW w:type="dxa" w:w="2160"/>
            <w:tcMar>
              <w:top w:w="50" w:type="dxa"/>
              <w:bottom w:w="50" w:type="dxa"/>
              <w:left w:w="80" w:type="dxa"/>
              <w:right w:w="80" w:type="dxa"/>
            </w:tcMar>
            <w:vAlign w:val="center"/>
          </w:tcPr>
          <w:p>
            <w:pPr>
              <w:spacing w:before="20" w:after="20" w:line="252" w:lineRule="auto"/>
            </w:pPr>
            <w:r>
              <w:rPr>
                <w:rFonts w:ascii="Times New Roman" w:hAnsi="Times New Roman"/>
                <w:sz w:val="17"/>
              </w:rPr>
              <w:t>2,200,000 – 2,400,000</w:t>
            </w:r>
          </w:p>
        </w:tc>
        <w:tc>
          <w:tcPr>
            <w:tcW w:type="dxa" w:w="2160"/>
            <w:tcMar>
              <w:top w:w="50" w:type="dxa"/>
              <w:bottom w:w="50" w:type="dxa"/>
              <w:left w:w="80" w:type="dxa"/>
              <w:right w:w="80" w:type="dxa"/>
            </w:tcMar>
            <w:vAlign w:val="center"/>
          </w:tcPr>
          <w:p>
            <w:pPr>
              <w:spacing w:before="20" w:after="20" w:line="252" w:lineRule="auto"/>
            </w:pPr>
            <w:r>
              <w:rPr>
                <w:rFonts w:ascii="Times New Roman" w:hAnsi="Times New Roman"/>
                <w:sz w:val="17"/>
              </w:rPr>
              <w:t>180,000 – 200,000</w:t>
            </w:r>
          </w:p>
        </w:tc>
        <w:tc>
          <w:tcPr>
            <w:tcW w:type="dxa" w:w="2160"/>
            <w:tcMar>
              <w:top w:w="50" w:type="dxa"/>
              <w:bottom w:w="50" w:type="dxa"/>
              <w:left w:w="80" w:type="dxa"/>
              <w:right w:w="80" w:type="dxa"/>
            </w:tcMar>
            <w:vAlign w:val="center"/>
          </w:tcPr>
          <w:p>
            <w:pPr>
              <w:spacing w:before="20" w:after="20" w:line="252" w:lineRule="auto"/>
            </w:pPr>
            <w:r>
              <w:rPr>
                <w:rFonts w:ascii="Times New Roman" w:hAnsi="Times New Roman"/>
                <w:sz w:val="17"/>
              </w:rPr>
              <w:t>10,500,000 – 11,000,000</w:t>
            </w:r>
          </w:p>
        </w:tc>
      </w:tr>
      <w:tr>
        <w:tc>
          <w:tcPr>
            <w:tcW w:type="dxa" w:w="1728"/>
            <w:tcMar>
              <w:top w:w="50" w:type="dxa"/>
              <w:bottom w:w="50" w:type="dxa"/>
              <w:left w:w="80" w:type="dxa"/>
              <w:right w:w="80" w:type="dxa"/>
            </w:tcMar>
            <w:vAlign w:val="center"/>
          </w:tcPr>
          <w:p>
            <w:pPr>
              <w:spacing w:before="20" w:after="20" w:line="252" w:lineRule="auto"/>
            </w:pPr>
            <w:r>
              <w:rPr>
                <w:rFonts w:ascii="Times New Roman" w:hAnsi="Times New Roman"/>
                <w:sz w:val="17"/>
              </w:rPr>
              <w:t>Yellow</w:t>
            </w:r>
          </w:p>
        </w:tc>
        <w:tc>
          <w:tcPr>
            <w:tcW w:type="dxa" w:w="2592"/>
            <w:tcMar>
              <w:top w:w="50" w:type="dxa"/>
              <w:bottom w:w="50" w:type="dxa"/>
              <w:left w:w="80" w:type="dxa"/>
              <w:right w:w="80" w:type="dxa"/>
            </w:tcMar>
            <w:vAlign w:val="center"/>
          </w:tcPr>
          <w:p>
            <w:pPr>
              <w:spacing w:before="20" w:after="20" w:line="252" w:lineRule="auto"/>
            </w:pPr>
            <w:r>
              <w:rPr>
                <w:rFonts w:ascii="Times New Roman" w:hAnsi="Times New Roman"/>
                <w:sz w:val="17"/>
              </w:rPr>
              <w:t>3 (NTT, Kalbar, Kaltim)</w:t>
            </w:r>
          </w:p>
        </w:tc>
        <w:tc>
          <w:tcPr>
            <w:tcW w:type="dxa" w:w="2160"/>
            <w:tcMar>
              <w:top w:w="50" w:type="dxa"/>
              <w:bottom w:w="50" w:type="dxa"/>
              <w:left w:w="80" w:type="dxa"/>
              <w:right w:w="80" w:type="dxa"/>
            </w:tcMar>
            <w:vAlign w:val="center"/>
          </w:tcPr>
          <w:p>
            <w:pPr>
              <w:spacing w:before="20" w:after="20" w:line="252" w:lineRule="auto"/>
            </w:pPr>
            <w:r>
              <w:rPr>
                <w:rFonts w:ascii="Times New Roman" w:hAnsi="Times New Roman"/>
                <w:sz w:val="17"/>
              </w:rPr>
              <w:t>2,600,000 – 2,800,000</w:t>
            </w:r>
          </w:p>
        </w:tc>
        <w:tc>
          <w:tcPr>
            <w:tcW w:type="dxa" w:w="2160"/>
            <w:tcMar>
              <w:top w:w="50" w:type="dxa"/>
              <w:bottom w:w="50" w:type="dxa"/>
              <w:left w:w="80" w:type="dxa"/>
              <w:right w:w="80" w:type="dxa"/>
            </w:tcMar>
            <w:vAlign w:val="center"/>
          </w:tcPr>
          <w:p>
            <w:pPr>
              <w:spacing w:before="20" w:after="20" w:line="252" w:lineRule="auto"/>
            </w:pPr>
            <w:r>
              <w:rPr>
                <w:rFonts w:ascii="Times New Roman" w:hAnsi="Times New Roman"/>
                <w:sz w:val="17"/>
              </w:rPr>
              <w:t>220,000 – 240,000</w:t>
            </w:r>
          </w:p>
        </w:tc>
        <w:tc>
          <w:tcPr>
            <w:tcW w:type="dxa" w:w="2160"/>
            <w:tcMar>
              <w:top w:w="50" w:type="dxa"/>
              <w:bottom w:w="50" w:type="dxa"/>
              <w:left w:w="80" w:type="dxa"/>
              <w:right w:w="80" w:type="dxa"/>
            </w:tcMar>
            <w:vAlign w:val="center"/>
          </w:tcPr>
          <w:p>
            <w:pPr>
              <w:spacing w:before="20" w:after="20" w:line="252" w:lineRule="auto"/>
            </w:pPr>
            <w:r>
              <w:rPr>
                <w:rFonts w:ascii="Times New Roman" w:hAnsi="Times New Roman"/>
                <w:sz w:val="17"/>
              </w:rPr>
              <w:t>11,500,000 – 12,000,000</w:t>
            </w:r>
          </w:p>
        </w:tc>
      </w:tr>
      <w:tr>
        <w:tc>
          <w:tcPr>
            <w:tcW w:type="dxa" w:w="1728"/>
            <w:tcMar>
              <w:top w:w="50" w:type="dxa"/>
              <w:bottom w:w="50" w:type="dxa"/>
              <w:left w:w="80" w:type="dxa"/>
              <w:right w:w="80" w:type="dxa"/>
            </w:tcMar>
            <w:vAlign w:val="center"/>
          </w:tcPr>
          <w:p>
            <w:pPr>
              <w:spacing w:before="20" w:after="20" w:line="252" w:lineRule="auto"/>
            </w:pPr>
            <w:r>
              <w:rPr>
                <w:rFonts w:ascii="Times New Roman" w:hAnsi="Times New Roman"/>
                <w:sz w:val="17"/>
              </w:rPr>
              <w:t>Green</w:t>
            </w:r>
          </w:p>
        </w:tc>
        <w:tc>
          <w:tcPr>
            <w:tcW w:type="dxa" w:w="2592"/>
            <w:tcMar>
              <w:top w:w="50" w:type="dxa"/>
              <w:bottom w:w="50" w:type="dxa"/>
              <w:left w:w="80" w:type="dxa"/>
              <w:right w:w="80" w:type="dxa"/>
            </w:tcMar>
            <w:vAlign w:val="center"/>
          </w:tcPr>
          <w:p>
            <w:pPr>
              <w:spacing w:before="20" w:after="20" w:line="252" w:lineRule="auto"/>
            </w:pPr>
            <w:r>
              <w:rPr>
                <w:rFonts w:ascii="Times New Roman" w:hAnsi="Times New Roman"/>
                <w:sz w:val="17"/>
              </w:rPr>
              <w:t>3 (Kalsel, Sulsel, Sulut)</w:t>
            </w:r>
          </w:p>
        </w:tc>
        <w:tc>
          <w:tcPr>
            <w:tcW w:type="dxa" w:w="2160"/>
            <w:tcMar>
              <w:top w:w="50" w:type="dxa"/>
              <w:bottom w:w="50" w:type="dxa"/>
              <w:left w:w="80" w:type="dxa"/>
              <w:right w:w="80" w:type="dxa"/>
            </w:tcMar>
            <w:vAlign w:val="center"/>
          </w:tcPr>
          <w:p>
            <w:pPr>
              <w:spacing w:before="20" w:after="20" w:line="252" w:lineRule="auto"/>
            </w:pPr>
            <w:r>
              <w:rPr>
                <w:rFonts w:ascii="Times New Roman" w:hAnsi="Times New Roman"/>
                <w:sz w:val="17"/>
              </w:rPr>
              <w:t>3,000,000 – 3,200,000</w:t>
            </w:r>
          </w:p>
        </w:tc>
        <w:tc>
          <w:tcPr>
            <w:tcW w:type="dxa" w:w="2160"/>
            <w:tcMar>
              <w:top w:w="50" w:type="dxa"/>
              <w:bottom w:w="50" w:type="dxa"/>
              <w:left w:w="80" w:type="dxa"/>
              <w:right w:w="80" w:type="dxa"/>
            </w:tcMar>
            <w:vAlign w:val="center"/>
          </w:tcPr>
          <w:p>
            <w:pPr>
              <w:spacing w:before="20" w:after="20" w:line="252" w:lineRule="auto"/>
            </w:pPr>
            <w:r>
              <w:rPr>
                <w:rFonts w:ascii="Times New Roman" w:hAnsi="Times New Roman"/>
                <w:sz w:val="17"/>
              </w:rPr>
              <w:t>260,000 – 280,000</w:t>
            </w:r>
          </w:p>
        </w:tc>
        <w:tc>
          <w:tcPr>
            <w:tcW w:type="dxa" w:w="2160"/>
            <w:tcMar>
              <w:top w:w="50" w:type="dxa"/>
              <w:bottom w:w="50" w:type="dxa"/>
              <w:left w:w="80" w:type="dxa"/>
              <w:right w:w="80" w:type="dxa"/>
            </w:tcMar>
            <w:vAlign w:val="center"/>
          </w:tcPr>
          <w:p>
            <w:pPr>
              <w:spacing w:before="20" w:after="20" w:line="252" w:lineRule="auto"/>
            </w:pPr>
            <w:r>
              <w:rPr>
                <w:rFonts w:ascii="Times New Roman" w:hAnsi="Times New Roman"/>
                <w:sz w:val="17"/>
              </w:rPr>
              <w:t>12,750,000 – 14,000,000</w:t>
            </w:r>
          </w:p>
        </w:tc>
      </w:tr>
      <w:tr>
        <w:tc>
          <w:tcPr>
            <w:tcW w:type="dxa" w:w="1728"/>
            <w:tcMar>
              <w:top w:w="50" w:type="dxa"/>
              <w:bottom w:w="50" w:type="dxa"/>
              <w:left w:w="80" w:type="dxa"/>
              <w:right w:w="80" w:type="dxa"/>
            </w:tcMar>
            <w:vAlign w:val="center"/>
          </w:tcPr>
          <w:p>
            <w:pPr>
              <w:spacing w:before="20" w:after="20" w:line="252" w:lineRule="auto"/>
            </w:pPr>
            <w:r>
              <w:rPr>
                <w:rFonts w:ascii="Times New Roman" w:hAnsi="Times New Roman"/>
                <w:sz w:val="17"/>
              </w:rPr>
              <w:t>Dark Blue</w:t>
            </w:r>
          </w:p>
        </w:tc>
        <w:tc>
          <w:tcPr>
            <w:tcW w:type="dxa" w:w="2592"/>
            <w:tcMar>
              <w:top w:w="50" w:type="dxa"/>
              <w:bottom w:w="50" w:type="dxa"/>
              <w:left w:w="80" w:type="dxa"/>
              <w:right w:w="80" w:type="dxa"/>
            </w:tcMar>
            <w:vAlign w:val="center"/>
          </w:tcPr>
          <w:p>
            <w:pPr>
              <w:spacing w:before="20" w:after="20" w:line="252" w:lineRule="auto"/>
            </w:pPr>
            <w:r>
              <w:rPr>
                <w:rFonts w:ascii="Times New Roman" w:hAnsi="Times New Roman"/>
                <w:sz w:val="17"/>
              </w:rPr>
              <w:t>2 (Maluku, Papua)</w:t>
            </w:r>
          </w:p>
        </w:tc>
        <w:tc>
          <w:tcPr>
            <w:tcW w:type="dxa" w:w="2160"/>
            <w:tcMar>
              <w:top w:w="50" w:type="dxa"/>
              <w:bottom w:w="50" w:type="dxa"/>
              <w:left w:w="80" w:type="dxa"/>
              <w:right w:w="80" w:type="dxa"/>
            </w:tcMar>
            <w:vAlign w:val="center"/>
          </w:tcPr>
          <w:p>
            <w:pPr>
              <w:spacing w:before="20" w:after="20" w:line="252" w:lineRule="auto"/>
            </w:pPr>
            <w:r>
              <w:rPr>
                <w:rFonts w:ascii="Times New Roman" w:hAnsi="Times New Roman"/>
                <w:sz w:val="17"/>
              </w:rPr>
              <w:t>3,500,000 – 4,000,000</w:t>
            </w:r>
          </w:p>
        </w:tc>
        <w:tc>
          <w:tcPr>
            <w:tcW w:type="dxa" w:w="2160"/>
            <w:tcMar>
              <w:top w:w="50" w:type="dxa"/>
              <w:bottom w:w="50" w:type="dxa"/>
              <w:left w:w="80" w:type="dxa"/>
              <w:right w:w="80" w:type="dxa"/>
            </w:tcMar>
            <w:vAlign w:val="center"/>
          </w:tcPr>
          <w:p>
            <w:pPr>
              <w:spacing w:before="20" w:after="20" w:line="252" w:lineRule="auto"/>
            </w:pPr>
            <w:r>
              <w:rPr>
                <w:rFonts w:ascii="Times New Roman" w:hAnsi="Times New Roman"/>
                <w:sz w:val="17"/>
              </w:rPr>
              <w:t>350,000 – 500,000</w:t>
            </w:r>
          </w:p>
        </w:tc>
        <w:tc>
          <w:tcPr>
            <w:tcW w:type="dxa" w:w="2160"/>
            <w:tcMar>
              <w:top w:w="50" w:type="dxa"/>
              <w:bottom w:w="50" w:type="dxa"/>
              <w:left w:w="80" w:type="dxa"/>
              <w:right w:w="80" w:type="dxa"/>
            </w:tcMar>
            <w:vAlign w:val="center"/>
          </w:tcPr>
          <w:p>
            <w:pPr>
              <w:spacing w:before="20" w:after="20" w:line="252" w:lineRule="auto"/>
            </w:pPr>
            <w:r>
              <w:rPr>
                <w:rFonts w:ascii="Times New Roman" w:hAnsi="Times New Roman"/>
                <w:sz w:val="17"/>
              </w:rPr>
              <w:t>15,000,000 – 20,000,000</w:t>
            </w:r>
          </w:p>
        </w:tc>
      </w:tr>
    </w:tbl>
    <w:p>
      <w:pPr>
        <w:spacing w:before="160" w:after="40"/>
      </w:pPr>
      <w:r>
        <w:rPr>
          <w:rFonts w:ascii="Times New Roman" w:hAnsi="Times New Roman"/>
          <w:b/>
          <w:sz w:val="18"/>
        </w:rPr>
        <w:t>Table 3. Functional Composition and Event Breakdown of the 50-Card Dual-Deck System</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D3D3D3"/>
        </w:tblBorders>
      </w:tblPr>
      <w:tblGrid>
        <w:gridCol w:w="1814"/>
        <w:gridCol w:w="1814"/>
        <w:gridCol w:w="1814"/>
        <w:gridCol w:w="1814"/>
        <w:gridCol w:w="1814"/>
      </w:tblGrid>
      <w:tr>
        <w:trPr>
          <w:tblHeader/>
        </w:trPr>
        <w:tc>
          <w:tcPr>
            <w:tcW w:type="dxa" w:w="3600"/>
            <w:tcMar>
              <w:top w:w="80" w:type="dxa"/>
              <w:bottom w:w="80" w:type="dxa"/>
              <w:left w:w="100" w:type="dxa"/>
              <w:right w:w="100" w:type="dxa"/>
            </w:tcMar>
            <w:shd w:val="clear" w:color="auto" w:fill="EAEAEA"/>
            <w:vAlign w:val="center"/>
          </w:tcPr>
          <w:p>
            <w:pPr>
              <w:spacing w:before="40" w:after="40"/>
              <w:jc w:val="center"/>
            </w:pPr>
            <w:r>
              <w:rPr>
                <w:rFonts w:ascii="Times New Roman" w:hAnsi="Times New Roman"/>
                <w:b/>
                <w:sz w:val="18"/>
              </w:rPr>
              <w:t>Category</w:t>
            </w:r>
          </w:p>
        </w:tc>
        <w:tc>
          <w:tcPr>
            <w:tcW w:type="dxa" w:w="1728"/>
            <w:tcMar>
              <w:top w:w="80" w:type="dxa"/>
              <w:bottom w:w="80" w:type="dxa"/>
              <w:left w:w="100" w:type="dxa"/>
              <w:right w:w="100" w:type="dxa"/>
            </w:tcMar>
            <w:shd w:val="clear" w:color="auto" w:fill="EAEAEA"/>
            <w:vAlign w:val="center"/>
          </w:tcPr>
          <w:p>
            <w:pPr>
              <w:spacing w:before="40" w:after="40"/>
              <w:jc w:val="center"/>
            </w:pPr>
            <w:r>
              <w:rPr>
                <w:rFonts w:ascii="Times New Roman" w:hAnsi="Times New Roman"/>
                <w:b/>
                <w:sz w:val="18"/>
              </w:rPr>
              <w:t>Chance (26 Cards)</w:t>
            </w:r>
          </w:p>
        </w:tc>
        <w:tc>
          <w:tcPr>
            <w:tcW w:type="dxa" w:w="1440"/>
            <w:tcMar>
              <w:top w:w="80" w:type="dxa"/>
              <w:bottom w:w="80" w:type="dxa"/>
              <w:left w:w="100" w:type="dxa"/>
              <w:right w:w="100" w:type="dxa"/>
            </w:tcMar>
            <w:shd w:val="clear" w:color="auto" w:fill="EAEAEA"/>
            <w:vAlign w:val="center"/>
          </w:tcPr>
          <w:p>
            <w:pPr>
              <w:spacing w:before="40" w:after="40"/>
              <w:jc w:val="center"/>
            </w:pPr>
            <w:r>
              <w:rPr>
                <w:rFonts w:ascii="Times New Roman" w:hAnsi="Times New Roman"/>
                <w:b/>
                <w:sz w:val="18"/>
              </w:rPr>
              <w:t>Chance Share</w:t>
            </w:r>
          </w:p>
        </w:tc>
        <w:tc>
          <w:tcPr>
            <w:tcW w:type="dxa" w:w="2304"/>
            <w:tcMar>
              <w:top w:w="80" w:type="dxa"/>
              <w:bottom w:w="80" w:type="dxa"/>
              <w:left w:w="100" w:type="dxa"/>
              <w:right w:w="100" w:type="dxa"/>
            </w:tcMar>
            <w:shd w:val="clear" w:color="auto" w:fill="EAEAEA"/>
            <w:vAlign w:val="center"/>
          </w:tcPr>
          <w:p>
            <w:pPr>
              <w:spacing w:before="40" w:after="40"/>
              <w:jc w:val="center"/>
            </w:pPr>
            <w:r>
              <w:rPr>
                <w:rFonts w:ascii="Times New Roman" w:hAnsi="Times New Roman"/>
                <w:b/>
                <w:sz w:val="18"/>
              </w:rPr>
              <w:t>Community Chest (24 Cards)</w:t>
            </w:r>
          </w:p>
        </w:tc>
        <w:tc>
          <w:tcPr>
            <w:tcW w:type="dxa" w:w="1440"/>
            <w:tcMar>
              <w:top w:w="80" w:type="dxa"/>
              <w:bottom w:w="80" w:type="dxa"/>
              <w:left w:w="100" w:type="dxa"/>
              <w:right w:w="100" w:type="dxa"/>
            </w:tcMar>
            <w:shd w:val="clear" w:color="auto" w:fill="EAEAEA"/>
            <w:vAlign w:val="center"/>
          </w:tcPr>
          <w:p>
            <w:pPr>
              <w:spacing w:before="40" w:after="40"/>
              <w:jc w:val="center"/>
            </w:pPr>
            <w:r>
              <w:rPr>
                <w:rFonts w:ascii="Times New Roman" w:hAnsi="Times New Roman"/>
                <w:b/>
                <w:sz w:val="18"/>
              </w:rPr>
              <w:t>Chest Share</w:t>
            </w:r>
          </w:p>
        </w:tc>
      </w:tr>
      <w:tr>
        <w:tc>
          <w:tcPr>
            <w:tcW w:type="dxa" w:w="3600"/>
            <w:tcMar>
              <w:top w:w="50" w:type="dxa"/>
              <w:bottom w:w="50" w:type="dxa"/>
              <w:left w:w="80" w:type="dxa"/>
              <w:right w:w="80" w:type="dxa"/>
            </w:tcMar>
            <w:vAlign w:val="center"/>
          </w:tcPr>
          <w:p>
            <w:pPr>
              <w:spacing w:before="20" w:after="20" w:line="252" w:lineRule="auto"/>
            </w:pPr>
            <w:r>
              <w:rPr>
                <w:rFonts w:ascii="Times New Roman" w:hAnsi="Times New Roman"/>
                <w:sz w:val="17"/>
              </w:rPr>
              <w:t>Profit (Cash Dividends)</w:t>
            </w:r>
          </w:p>
        </w:tc>
        <w:tc>
          <w:tcPr>
            <w:tcW w:type="dxa" w:w="1728"/>
            <w:tcMar>
              <w:top w:w="50" w:type="dxa"/>
              <w:bottom w:w="50" w:type="dxa"/>
              <w:left w:w="80" w:type="dxa"/>
              <w:right w:w="80" w:type="dxa"/>
            </w:tcMar>
            <w:vAlign w:val="center"/>
          </w:tcPr>
          <w:p>
            <w:pPr>
              <w:spacing w:before="20" w:after="20" w:line="252" w:lineRule="auto"/>
            </w:pPr>
            <w:r>
              <w:rPr>
                <w:rFonts w:ascii="Times New Roman" w:hAnsi="Times New Roman"/>
                <w:sz w:val="17"/>
              </w:rPr>
              <w:t>7 cards</w:t>
            </w:r>
          </w:p>
        </w:tc>
        <w:tc>
          <w:tcPr>
            <w:tcW w:type="dxa" w:w="1440"/>
            <w:tcMar>
              <w:top w:w="50" w:type="dxa"/>
              <w:bottom w:w="50" w:type="dxa"/>
              <w:left w:w="80" w:type="dxa"/>
              <w:right w:w="80" w:type="dxa"/>
            </w:tcMar>
            <w:vAlign w:val="center"/>
          </w:tcPr>
          <w:p>
            <w:pPr>
              <w:spacing w:before="20" w:after="20" w:line="252" w:lineRule="auto"/>
            </w:pPr>
            <w:r>
              <w:rPr>
                <w:rFonts w:ascii="Times New Roman" w:hAnsi="Times New Roman"/>
                <w:sz w:val="17"/>
              </w:rPr>
              <w:t>26.9%</w:t>
            </w:r>
          </w:p>
        </w:tc>
        <w:tc>
          <w:tcPr>
            <w:tcW w:type="dxa" w:w="2304"/>
            <w:tcMar>
              <w:top w:w="50" w:type="dxa"/>
              <w:bottom w:w="50" w:type="dxa"/>
              <w:left w:w="80" w:type="dxa"/>
              <w:right w:w="80" w:type="dxa"/>
            </w:tcMar>
            <w:vAlign w:val="center"/>
          </w:tcPr>
          <w:p>
            <w:pPr>
              <w:spacing w:before="20" w:after="20" w:line="252" w:lineRule="auto"/>
            </w:pPr>
            <w:r>
              <w:rPr>
                <w:rFonts w:ascii="Times New Roman" w:hAnsi="Times New Roman"/>
                <w:sz w:val="17"/>
              </w:rPr>
              <w:t>6 cards</w:t>
            </w:r>
          </w:p>
        </w:tc>
        <w:tc>
          <w:tcPr>
            <w:tcW w:type="dxa" w:w="1440"/>
            <w:tcMar>
              <w:top w:w="50" w:type="dxa"/>
              <w:bottom w:w="50" w:type="dxa"/>
              <w:left w:w="80" w:type="dxa"/>
              <w:right w:w="80" w:type="dxa"/>
            </w:tcMar>
            <w:vAlign w:val="center"/>
          </w:tcPr>
          <w:p>
            <w:pPr>
              <w:spacing w:before="20" w:after="20" w:line="252" w:lineRule="auto"/>
            </w:pPr>
            <w:r>
              <w:rPr>
                <w:rFonts w:ascii="Times New Roman" w:hAnsi="Times New Roman"/>
                <w:sz w:val="17"/>
              </w:rPr>
              <w:t>25.0%</w:t>
            </w:r>
          </w:p>
        </w:tc>
      </w:tr>
      <w:tr>
        <w:tc>
          <w:tcPr>
            <w:tcW w:type="dxa" w:w="3600"/>
            <w:tcMar>
              <w:top w:w="50" w:type="dxa"/>
              <w:bottom w:w="50" w:type="dxa"/>
              <w:left w:w="80" w:type="dxa"/>
              <w:right w:w="80" w:type="dxa"/>
            </w:tcMar>
            <w:vAlign w:val="center"/>
          </w:tcPr>
          <w:p>
            <w:pPr>
              <w:spacing w:before="20" w:after="20" w:line="252" w:lineRule="auto"/>
            </w:pPr>
            <w:r>
              <w:rPr>
                <w:rFonts w:ascii="Times New Roman" w:hAnsi="Times New Roman"/>
                <w:sz w:val="17"/>
              </w:rPr>
              <w:t>Penalty (Tax &amp; Repairs)</w:t>
            </w:r>
          </w:p>
        </w:tc>
        <w:tc>
          <w:tcPr>
            <w:tcW w:type="dxa" w:w="1728"/>
            <w:tcMar>
              <w:top w:w="50" w:type="dxa"/>
              <w:bottom w:w="50" w:type="dxa"/>
              <w:left w:w="80" w:type="dxa"/>
              <w:right w:w="80" w:type="dxa"/>
            </w:tcMar>
            <w:vAlign w:val="center"/>
          </w:tcPr>
          <w:p>
            <w:pPr>
              <w:spacing w:before="20" w:after="20" w:line="252" w:lineRule="auto"/>
            </w:pPr>
            <w:r>
              <w:rPr>
                <w:rFonts w:ascii="Times New Roman" w:hAnsi="Times New Roman"/>
                <w:sz w:val="17"/>
              </w:rPr>
              <w:t>6 cards</w:t>
            </w:r>
          </w:p>
        </w:tc>
        <w:tc>
          <w:tcPr>
            <w:tcW w:type="dxa" w:w="1440"/>
            <w:tcMar>
              <w:top w:w="50" w:type="dxa"/>
              <w:bottom w:w="50" w:type="dxa"/>
              <w:left w:w="80" w:type="dxa"/>
              <w:right w:w="80" w:type="dxa"/>
            </w:tcMar>
            <w:vAlign w:val="center"/>
          </w:tcPr>
          <w:p>
            <w:pPr>
              <w:spacing w:before="20" w:after="20" w:line="252" w:lineRule="auto"/>
            </w:pPr>
            <w:r>
              <w:rPr>
                <w:rFonts w:ascii="Times New Roman" w:hAnsi="Times New Roman"/>
                <w:sz w:val="17"/>
              </w:rPr>
              <w:t>23.1%</w:t>
            </w:r>
          </w:p>
        </w:tc>
        <w:tc>
          <w:tcPr>
            <w:tcW w:type="dxa" w:w="2304"/>
            <w:tcMar>
              <w:top w:w="50" w:type="dxa"/>
              <w:bottom w:w="50" w:type="dxa"/>
              <w:left w:w="80" w:type="dxa"/>
              <w:right w:w="80" w:type="dxa"/>
            </w:tcMar>
            <w:vAlign w:val="center"/>
          </w:tcPr>
          <w:p>
            <w:pPr>
              <w:spacing w:before="20" w:after="20" w:line="252" w:lineRule="auto"/>
            </w:pPr>
            <w:r>
              <w:rPr>
                <w:rFonts w:ascii="Times New Roman" w:hAnsi="Times New Roman"/>
                <w:sz w:val="17"/>
              </w:rPr>
              <w:t>6 cards</w:t>
            </w:r>
          </w:p>
        </w:tc>
        <w:tc>
          <w:tcPr>
            <w:tcW w:type="dxa" w:w="1440"/>
            <w:tcMar>
              <w:top w:w="50" w:type="dxa"/>
              <w:bottom w:w="50" w:type="dxa"/>
              <w:left w:w="80" w:type="dxa"/>
              <w:right w:w="80" w:type="dxa"/>
            </w:tcMar>
            <w:vAlign w:val="center"/>
          </w:tcPr>
          <w:p>
            <w:pPr>
              <w:spacing w:before="20" w:after="20" w:line="252" w:lineRule="auto"/>
            </w:pPr>
            <w:r>
              <w:rPr>
                <w:rFonts w:ascii="Times New Roman" w:hAnsi="Times New Roman"/>
                <w:sz w:val="17"/>
              </w:rPr>
              <w:t>25.0%</w:t>
            </w:r>
          </w:p>
        </w:tc>
      </w:tr>
      <w:tr>
        <w:tc>
          <w:tcPr>
            <w:tcW w:type="dxa" w:w="3600"/>
            <w:tcMar>
              <w:top w:w="50" w:type="dxa"/>
              <w:bottom w:w="50" w:type="dxa"/>
              <w:left w:w="80" w:type="dxa"/>
              <w:right w:w="80" w:type="dxa"/>
            </w:tcMar>
            <w:vAlign w:val="center"/>
          </w:tcPr>
          <w:p>
            <w:pPr>
              <w:spacing w:before="20" w:after="20" w:line="252" w:lineRule="auto"/>
            </w:pPr>
            <w:r>
              <w:rPr>
                <w:rFonts w:ascii="Times New Roman" w:hAnsi="Times New Roman"/>
                <w:sz w:val="17"/>
              </w:rPr>
              <w:t>Gacha (Risk &amp; Reward)</w:t>
            </w:r>
          </w:p>
        </w:tc>
        <w:tc>
          <w:tcPr>
            <w:tcW w:type="dxa" w:w="1728"/>
            <w:tcMar>
              <w:top w:w="50" w:type="dxa"/>
              <w:bottom w:w="50" w:type="dxa"/>
              <w:left w:w="80" w:type="dxa"/>
              <w:right w:w="80" w:type="dxa"/>
            </w:tcMar>
            <w:vAlign w:val="center"/>
          </w:tcPr>
          <w:p>
            <w:pPr>
              <w:spacing w:before="20" w:after="20" w:line="252" w:lineRule="auto"/>
            </w:pPr>
            <w:r>
              <w:rPr>
                <w:rFonts w:ascii="Times New Roman" w:hAnsi="Times New Roman"/>
                <w:sz w:val="17"/>
              </w:rPr>
              <w:t>7 cards</w:t>
            </w:r>
          </w:p>
        </w:tc>
        <w:tc>
          <w:tcPr>
            <w:tcW w:type="dxa" w:w="1440"/>
            <w:tcMar>
              <w:top w:w="50" w:type="dxa"/>
              <w:bottom w:w="50" w:type="dxa"/>
              <w:left w:w="80" w:type="dxa"/>
              <w:right w:w="80" w:type="dxa"/>
            </w:tcMar>
            <w:vAlign w:val="center"/>
          </w:tcPr>
          <w:p>
            <w:pPr>
              <w:spacing w:before="20" w:after="20" w:line="252" w:lineRule="auto"/>
            </w:pPr>
            <w:r>
              <w:rPr>
                <w:rFonts w:ascii="Times New Roman" w:hAnsi="Times New Roman"/>
                <w:sz w:val="17"/>
              </w:rPr>
              <w:t>26.9%</w:t>
            </w:r>
          </w:p>
        </w:tc>
        <w:tc>
          <w:tcPr>
            <w:tcW w:type="dxa" w:w="2304"/>
            <w:tcMar>
              <w:top w:w="50" w:type="dxa"/>
              <w:bottom w:w="50" w:type="dxa"/>
              <w:left w:w="80" w:type="dxa"/>
              <w:right w:w="80" w:type="dxa"/>
            </w:tcMar>
            <w:vAlign w:val="center"/>
          </w:tcPr>
          <w:p>
            <w:pPr>
              <w:spacing w:before="20" w:after="20" w:line="252" w:lineRule="auto"/>
            </w:pPr>
            <w:r>
              <w:rPr>
                <w:rFonts w:ascii="Times New Roman" w:hAnsi="Times New Roman"/>
                <w:sz w:val="17"/>
              </w:rPr>
              <w:t>6 cards</w:t>
            </w:r>
          </w:p>
        </w:tc>
        <w:tc>
          <w:tcPr>
            <w:tcW w:type="dxa" w:w="1440"/>
            <w:tcMar>
              <w:top w:w="50" w:type="dxa"/>
              <w:bottom w:w="50" w:type="dxa"/>
              <w:left w:w="80" w:type="dxa"/>
              <w:right w:w="80" w:type="dxa"/>
            </w:tcMar>
            <w:vAlign w:val="center"/>
          </w:tcPr>
          <w:p>
            <w:pPr>
              <w:spacing w:before="20" w:after="20" w:line="252" w:lineRule="auto"/>
            </w:pPr>
            <w:r>
              <w:rPr>
                <w:rFonts w:ascii="Times New Roman" w:hAnsi="Times New Roman"/>
                <w:sz w:val="17"/>
              </w:rPr>
              <w:t>25.0%</w:t>
            </w:r>
          </w:p>
        </w:tc>
      </w:tr>
      <w:tr>
        <w:tc>
          <w:tcPr>
            <w:tcW w:type="dxa" w:w="3600"/>
            <w:tcMar>
              <w:top w:w="50" w:type="dxa"/>
              <w:bottom w:w="50" w:type="dxa"/>
              <w:left w:w="80" w:type="dxa"/>
              <w:right w:w="80" w:type="dxa"/>
            </w:tcMar>
            <w:vAlign w:val="center"/>
          </w:tcPr>
          <w:p>
            <w:pPr>
              <w:spacing w:before="20" w:after="20" w:line="252" w:lineRule="auto"/>
            </w:pPr>
            <w:r>
              <w:rPr>
                <w:rFonts w:ascii="Times New Roman" w:hAnsi="Times New Roman"/>
                <w:sz w:val="17"/>
              </w:rPr>
              <w:t>Special (Relocation/Shield)</w:t>
            </w:r>
          </w:p>
        </w:tc>
        <w:tc>
          <w:tcPr>
            <w:tcW w:type="dxa" w:w="1728"/>
            <w:tcMar>
              <w:top w:w="50" w:type="dxa"/>
              <w:bottom w:w="50" w:type="dxa"/>
              <w:left w:w="80" w:type="dxa"/>
              <w:right w:w="80" w:type="dxa"/>
            </w:tcMar>
            <w:vAlign w:val="center"/>
          </w:tcPr>
          <w:p>
            <w:pPr>
              <w:spacing w:before="20" w:after="20" w:line="252" w:lineRule="auto"/>
            </w:pPr>
            <w:r>
              <w:rPr>
                <w:rFonts w:ascii="Times New Roman" w:hAnsi="Times New Roman"/>
                <w:sz w:val="17"/>
              </w:rPr>
              <w:t>6 cards</w:t>
            </w:r>
          </w:p>
        </w:tc>
        <w:tc>
          <w:tcPr>
            <w:tcW w:type="dxa" w:w="1440"/>
            <w:tcMar>
              <w:top w:w="50" w:type="dxa"/>
              <w:bottom w:w="50" w:type="dxa"/>
              <w:left w:w="80" w:type="dxa"/>
              <w:right w:w="80" w:type="dxa"/>
            </w:tcMar>
            <w:vAlign w:val="center"/>
          </w:tcPr>
          <w:p>
            <w:pPr>
              <w:spacing w:before="20" w:after="20" w:line="252" w:lineRule="auto"/>
            </w:pPr>
            <w:r>
              <w:rPr>
                <w:rFonts w:ascii="Times New Roman" w:hAnsi="Times New Roman"/>
                <w:sz w:val="17"/>
              </w:rPr>
              <w:t>23.1%</w:t>
            </w:r>
          </w:p>
        </w:tc>
        <w:tc>
          <w:tcPr>
            <w:tcW w:type="dxa" w:w="2304"/>
            <w:tcMar>
              <w:top w:w="50" w:type="dxa"/>
              <w:bottom w:w="50" w:type="dxa"/>
              <w:left w:w="80" w:type="dxa"/>
              <w:right w:w="80" w:type="dxa"/>
            </w:tcMar>
            <w:vAlign w:val="center"/>
          </w:tcPr>
          <w:p>
            <w:pPr>
              <w:spacing w:before="20" w:after="20" w:line="252" w:lineRule="auto"/>
            </w:pPr>
            <w:r>
              <w:rPr>
                <w:rFonts w:ascii="Times New Roman" w:hAnsi="Times New Roman"/>
                <w:sz w:val="17"/>
              </w:rPr>
              <w:t>6 cards</w:t>
            </w:r>
          </w:p>
        </w:tc>
        <w:tc>
          <w:tcPr>
            <w:tcW w:type="dxa" w:w="1440"/>
            <w:tcMar>
              <w:top w:w="50" w:type="dxa"/>
              <w:bottom w:w="50" w:type="dxa"/>
              <w:left w:w="80" w:type="dxa"/>
              <w:right w:w="80" w:type="dxa"/>
            </w:tcMar>
            <w:vAlign w:val="center"/>
          </w:tcPr>
          <w:p>
            <w:pPr>
              <w:spacing w:before="20" w:after="20" w:line="252" w:lineRule="auto"/>
            </w:pPr>
            <w:r>
              <w:rPr>
                <w:rFonts w:ascii="Times New Roman" w:hAnsi="Times New Roman"/>
                <w:sz w:val="17"/>
              </w:rPr>
              <w:t>25.0%</w:t>
            </w:r>
          </w:p>
        </w:tc>
      </w:tr>
    </w:tbl>
    <w:p>
      <w:pPr>
        <w:spacing w:before="0" w:after="80" w:line="276" w:lineRule="auto"/>
        <w:ind w:firstLine="360"/>
        <w:jc w:val="both"/>
      </w:pPr>
      <w:r>
        <w:rPr>
          <w:rFonts w:ascii="Times New Roman" w:hAnsi="Times New Roman"/>
          <w:sz w:val="20"/>
        </w:rPr>
        <w:t>AI Latency Benchmark: Table 4 summarizes the operational decision logic and measured execution latencies for the four evaluated strategy models across 10,000 evaluation cycles.</w:t>
      </w:r>
    </w:p>
    <w:p>
      <w:pPr>
        <w:spacing w:before="160" w:after="40"/>
      </w:pPr>
      <w:r>
        <w:rPr>
          <w:rFonts w:ascii="Times New Roman" w:hAnsi="Times New Roman"/>
          <w:b/>
          <w:sz w:val="18"/>
        </w:rPr>
        <w:t>Table 4. Behavioral Profile, Upgrade Policies, and Measured Decision Latencies of AI Strategies (N=10,000)</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D3D3D3"/>
        </w:tblBorders>
      </w:tblPr>
      <w:tblGrid>
        <w:gridCol w:w="1512"/>
        <w:gridCol w:w="1512"/>
        <w:gridCol w:w="1512"/>
        <w:gridCol w:w="1512"/>
        <w:gridCol w:w="1512"/>
        <w:gridCol w:w="1512"/>
      </w:tblGrid>
      <w:tr>
        <w:trPr>
          <w:tblHeader/>
        </w:trPr>
        <w:tc>
          <w:tcPr>
            <w:tcW w:type="dxa" w:w="2592"/>
            <w:tcMar>
              <w:top w:w="80" w:type="dxa"/>
              <w:bottom w:w="80" w:type="dxa"/>
              <w:left w:w="100" w:type="dxa"/>
              <w:right w:w="100" w:type="dxa"/>
            </w:tcMar>
            <w:shd w:val="clear" w:color="auto" w:fill="EAEAEA"/>
            <w:vAlign w:val="center"/>
          </w:tcPr>
          <w:p>
            <w:pPr>
              <w:spacing w:before="40" w:after="40"/>
              <w:jc w:val="center"/>
            </w:pPr>
            <w:r>
              <w:rPr>
                <w:rFonts w:ascii="Times New Roman" w:hAnsi="Times New Roman"/>
                <w:b/>
                <w:sz w:val="18"/>
              </w:rPr>
              <w:t>Strategy Profile</w:t>
            </w:r>
          </w:p>
        </w:tc>
        <w:tc>
          <w:tcPr>
            <w:tcW w:type="dxa" w:w="2592"/>
            <w:tcMar>
              <w:top w:w="80" w:type="dxa"/>
              <w:bottom w:w="80" w:type="dxa"/>
              <w:left w:w="100" w:type="dxa"/>
              <w:right w:w="100" w:type="dxa"/>
            </w:tcMar>
            <w:shd w:val="clear" w:color="auto" w:fill="EAEAEA"/>
            <w:vAlign w:val="center"/>
          </w:tcPr>
          <w:p>
            <w:pPr>
              <w:spacing w:before="40" w:after="40"/>
              <w:jc w:val="center"/>
            </w:pPr>
            <w:r>
              <w:rPr>
                <w:rFonts w:ascii="Times New Roman" w:hAnsi="Times New Roman"/>
                <w:b/>
                <w:sz w:val="18"/>
              </w:rPr>
              <w:t>Property Purchase Rule</w:t>
            </w:r>
          </w:p>
        </w:tc>
        <w:tc>
          <w:tcPr>
            <w:tcW w:type="dxa" w:w="2592"/>
            <w:tcMar>
              <w:top w:w="80" w:type="dxa"/>
              <w:bottom w:w="80" w:type="dxa"/>
              <w:left w:w="100" w:type="dxa"/>
              <w:right w:w="100" w:type="dxa"/>
            </w:tcMar>
            <w:shd w:val="clear" w:color="auto" w:fill="EAEAEA"/>
            <w:vAlign w:val="center"/>
          </w:tcPr>
          <w:p>
            <w:pPr>
              <w:spacing w:before="40" w:after="40"/>
              <w:jc w:val="center"/>
            </w:pPr>
            <w:r>
              <w:rPr>
                <w:rFonts w:ascii="Times New Roman" w:hAnsi="Times New Roman"/>
                <w:b/>
                <w:sz w:val="18"/>
              </w:rPr>
              <w:t>Building Upgrade Policy</w:t>
            </w:r>
          </w:p>
        </w:tc>
        <w:tc>
          <w:tcPr>
            <w:tcW w:type="dxa" w:w="1584"/>
            <w:tcMar>
              <w:top w:w="80" w:type="dxa"/>
              <w:bottom w:w="80" w:type="dxa"/>
              <w:left w:w="100" w:type="dxa"/>
              <w:right w:w="100" w:type="dxa"/>
            </w:tcMar>
            <w:shd w:val="clear" w:color="auto" w:fill="EAEAEA"/>
            <w:vAlign w:val="center"/>
          </w:tcPr>
          <w:p>
            <w:pPr>
              <w:spacing w:before="40" w:after="40"/>
              <w:jc w:val="center"/>
            </w:pPr>
            <w:r>
              <w:rPr>
                <w:rFonts w:ascii="Times New Roman" w:hAnsi="Times New Roman"/>
                <w:b/>
                <w:sz w:val="18"/>
              </w:rPr>
              <w:t>Mean Latency (ms)</w:t>
            </w:r>
          </w:p>
        </w:tc>
        <w:tc>
          <w:tcPr>
            <w:tcW w:type="dxa" w:w="1440"/>
            <w:tcMar>
              <w:top w:w="80" w:type="dxa"/>
              <w:bottom w:w="80" w:type="dxa"/>
              <w:left w:w="100" w:type="dxa"/>
              <w:right w:w="100" w:type="dxa"/>
            </w:tcMar>
            <w:shd w:val="clear" w:color="auto" w:fill="EAEAEA"/>
            <w:vAlign w:val="center"/>
          </w:tcPr>
          <w:p>
            <w:pPr>
              <w:spacing w:before="40" w:after="40"/>
              <w:jc w:val="center"/>
            </w:pPr>
            <w:r>
              <w:rPr>
                <w:rFonts w:ascii="Times New Roman" w:hAnsi="Times New Roman"/>
                <w:b/>
                <w:sz w:val="18"/>
              </w:rPr>
              <w:t>Std Dev (ms)</w:t>
            </w:r>
          </w:p>
        </w:tc>
        <w:tc>
          <w:tcPr>
            <w:tcW w:type="dxa" w:w="1584"/>
            <w:tcMar>
              <w:top w:w="80" w:type="dxa"/>
              <w:bottom w:w="80" w:type="dxa"/>
              <w:left w:w="100" w:type="dxa"/>
              <w:right w:w="100" w:type="dxa"/>
            </w:tcMar>
            <w:shd w:val="clear" w:color="auto" w:fill="EAEAEA"/>
            <w:vAlign w:val="center"/>
          </w:tcPr>
          <w:p>
            <w:pPr>
              <w:spacing w:before="40" w:after="40"/>
              <w:jc w:val="center"/>
            </w:pPr>
            <w:r>
              <w:rPr>
                <w:rFonts w:ascii="Times New Roman" w:hAnsi="Times New Roman"/>
                <w:b/>
                <w:sz w:val="18"/>
              </w:rPr>
              <w:t>Max Latency (ms)</w:t>
            </w:r>
          </w:p>
        </w:tc>
      </w:tr>
      <w:tr>
        <w:tc>
          <w:tcPr>
            <w:tcW w:type="dxa" w:w="2592"/>
            <w:tcMar>
              <w:top w:w="50" w:type="dxa"/>
              <w:bottom w:w="50" w:type="dxa"/>
              <w:left w:w="80" w:type="dxa"/>
              <w:right w:w="80" w:type="dxa"/>
            </w:tcMar>
            <w:vAlign w:val="center"/>
          </w:tcPr>
          <w:p>
            <w:pPr>
              <w:spacing w:before="20" w:after="20" w:line="252" w:lineRule="auto"/>
            </w:pPr>
            <w:r>
              <w:rPr>
                <w:rFonts w:ascii="Times New Roman" w:hAnsi="Times New Roman"/>
                <w:sz w:val="17"/>
              </w:rPr>
              <w:t>Proposed Heuristic AI</w:t>
            </w:r>
          </w:p>
        </w:tc>
        <w:tc>
          <w:tcPr>
            <w:tcW w:type="dxa" w:w="2592"/>
            <w:tcMar>
              <w:top w:w="50" w:type="dxa"/>
              <w:bottom w:w="50" w:type="dxa"/>
              <w:left w:w="80" w:type="dxa"/>
              <w:right w:w="80" w:type="dxa"/>
            </w:tcMar>
            <w:vAlign w:val="center"/>
          </w:tcPr>
          <w:p>
            <w:pPr>
              <w:spacing w:before="20" w:after="20" w:line="252" w:lineRule="auto"/>
            </w:pPr>
            <w:r>
              <w:rPr>
                <w:rFonts w:ascii="Times New Roman" w:hAnsi="Times New Roman"/>
                <w:sz w:val="17"/>
              </w:rPr>
              <w:t>Dynamic buffer Bsafe(p)</w:t>
            </w:r>
          </w:p>
        </w:tc>
        <w:tc>
          <w:tcPr>
            <w:tcW w:type="dxa" w:w="2592"/>
            <w:tcMar>
              <w:top w:w="50" w:type="dxa"/>
              <w:bottom w:w="50" w:type="dxa"/>
              <w:left w:w="80" w:type="dxa"/>
              <w:right w:w="80" w:type="dxa"/>
            </w:tcMar>
            <w:vAlign w:val="center"/>
          </w:tcPr>
          <w:p>
            <w:pPr>
              <w:spacing w:before="20" w:after="20" w:line="252" w:lineRule="auto"/>
            </w:pPr>
            <w:r>
              <w:rPr>
                <w:rFonts w:ascii="Times New Roman" w:hAnsi="Times New Roman"/>
                <w:sz w:val="17"/>
              </w:rPr>
              <w:t>Even-building with reserve</w:t>
            </w:r>
          </w:p>
        </w:tc>
        <w:tc>
          <w:tcPr>
            <w:tcW w:type="dxa" w:w="1584"/>
            <w:tcMar>
              <w:top w:w="50" w:type="dxa"/>
              <w:bottom w:w="50" w:type="dxa"/>
              <w:left w:w="80" w:type="dxa"/>
              <w:right w:w="80" w:type="dxa"/>
            </w:tcMar>
            <w:vAlign w:val="center"/>
          </w:tcPr>
          <w:p>
            <w:pPr>
              <w:spacing w:before="20" w:after="20" w:line="252" w:lineRule="auto"/>
            </w:pPr>
            <w:r>
              <w:rPr>
                <w:rFonts w:ascii="Times New Roman" w:hAnsi="Times New Roman"/>
                <w:sz w:val="17"/>
              </w:rPr>
              <w:t>0.24 ms</w:t>
            </w:r>
          </w:p>
        </w:tc>
        <w:tc>
          <w:tcPr>
            <w:tcW w:type="dxa" w:w="1440"/>
            <w:tcMar>
              <w:top w:w="50" w:type="dxa"/>
              <w:bottom w:w="50" w:type="dxa"/>
              <w:left w:w="80" w:type="dxa"/>
              <w:right w:w="80" w:type="dxa"/>
            </w:tcMar>
            <w:vAlign w:val="center"/>
          </w:tcPr>
          <w:p>
            <w:pPr>
              <w:spacing w:before="20" w:after="20" w:line="252" w:lineRule="auto"/>
            </w:pPr>
            <w:r>
              <w:rPr>
                <w:rFonts w:ascii="Times New Roman" w:hAnsi="Times New Roman"/>
                <w:sz w:val="17"/>
              </w:rPr>
              <w:t>0.08 ms</w:t>
            </w:r>
          </w:p>
        </w:tc>
        <w:tc>
          <w:tcPr>
            <w:tcW w:type="dxa" w:w="1584"/>
            <w:tcMar>
              <w:top w:w="50" w:type="dxa"/>
              <w:bottom w:w="50" w:type="dxa"/>
              <w:left w:w="80" w:type="dxa"/>
              <w:right w:w="80" w:type="dxa"/>
            </w:tcMar>
            <w:vAlign w:val="center"/>
          </w:tcPr>
          <w:p>
            <w:pPr>
              <w:spacing w:before="20" w:after="20" w:line="252" w:lineRule="auto"/>
            </w:pPr>
            <w:r>
              <w:rPr>
                <w:rFonts w:ascii="Times New Roman" w:hAnsi="Times New Roman"/>
                <w:sz w:val="17"/>
              </w:rPr>
              <w:t>0.62 ms</w:t>
            </w:r>
          </w:p>
        </w:tc>
      </w:tr>
      <w:tr>
        <w:tc>
          <w:tcPr>
            <w:tcW w:type="dxa" w:w="2592"/>
            <w:tcMar>
              <w:top w:w="50" w:type="dxa"/>
              <w:bottom w:w="50" w:type="dxa"/>
              <w:left w:w="80" w:type="dxa"/>
              <w:right w:w="80" w:type="dxa"/>
            </w:tcMar>
            <w:vAlign w:val="center"/>
          </w:tcPr>
          <w:p>
            <w:pPr>
              <w:spacing w:before="20" w:after="20" w:line="252" w:lineRule="auto"/>
            </w:pPr>
            <w:r>
              <w:rPr>
                <w:rFonts w:ascii="Times New Roman" w:hAnsi="Times New Roman"/>
                <w:sz w:val="17"/>
              </w:rPr>
              <w:t>Static Threshold AI</w:t>
            </w:r>
          </w:p>
        </w:tc>
        <w:tc>
          <w:tcPr>
            <w:tcW w:type="dxa" w:w="2592"/>
            <w:tcMar>
              <w:top w:w="50" w:type="dxa"/>
              <w:bottom w:w="50" w:type="dxa"/>
              <w:left w:w="80" w:type="dxa"/>
              <w:right w:w="80" w:type="dxa"/>
            </w:tcMar>
            <w:vAlign w:val="center"/>
          </w:tcPr>
          <w:p>
            <w:pPr>
              <w:spacing w:before="20" w:after="20" w:line="252" w:lineRule="auto"/>
            </w:pPr>
            <w:r>
              <w:rPr>
                <w:rFonts w:ascii="Times New Roman" w:hAnsi="Times New Roman"/>
                <w:sz w:val="17"/>
              </w:rPr>
              <w:t>Fixed cash &gt; IDR 2,000,000</w:t>
            </w:r>
          </w:p>
        </w:tc>
        <w:tc>
          <w:tcPr>
            <w:tcW w:type="dxa" w:w="2592"/>
            <w:tcMar>
              <w:top w:w="50" w:type="dxa"/>
              <w:bottom w:w="50" w:type="dxa"/>
              <w:left w:w="80" w:type="dxa"/>
              <w:right w:w="80" w:type="dxa"/>
            </w:tcMar>
            <w:vAlign w:val="center"/>
          </w:tcPr>
          <w:p>
            <w:pPr>
              <w:spacing w:before="20" w:after="20" w:line="252" w:lineRule="auto"/>
            </w:pPr>
            <w:r>
              <w:rPr>
                <w:rFonts w:ascii="Times New Roman" w:hAnsi="Times New Roman"/>
                <w:sz w:val="17"/>
              </w:rPr>
              <w:t>Upgrade if cash &gt; IDR 3M</w:t>
            </w:r>
          </w:p>
        </w:tc>
        <w:tc>
          <w:tcPr>
            <w:tcW w:type="dxa" w:w="1584"/>
            <w:tcMar>
              <w:top w:w="50" w:type="dxa"/>
              <w:bottom w:w="50" w:type="dxa"/>
              <w:left w:w="80" w:type="dxa"/>
              <w:right w:w="80" w:type="dxa"/>
            </w:tcMar>
            <w:vAlign w:val="center"/>
          </w:tcPr>
          <w:p>
            <w:pPr>
              <w:spacing w:before="20" w:after="20" w:line="252" w:lineRule="auto"/>
            </w:pPr>
            <w:r>
              <w:rPr>
                <w:rFonts w:ascii="Times New Roman" w:hAnsi="Times New Roman"/>
                <w:sz w:val="17"/>
              </w:rPr>
              <w:t>0.18 ms</w:t>
            </w:r>
          </w:p>
        </w:tc>
        <w:tc>
          <w:tcPr>
            <w:tcW w:type="dxa" w:w="1440"/>
            <w:tcMar>
              <w:top w:w="50" w:type="dxa"/>
              <w:bottom w:w="50" w:type="dxa"/>
              <w:left w:w="80" w:type="dxa"/>
              <w:right w:w="80" w:type="dxa"/>
            </w:tcMar>
            <w:vAlign w:val="center"/>
          </w:tcPr>
          <w:p>
            <w:pPr>
              <w:spacing w:before="20" w:after="20" w:line="252" w:lineRule="auto"/>
            </w:pPr>
            <w:r>
              <w:rPr>
                <w:rFonts w:ascii="Times New Roman" w:hAnsi="Times New Roman"/>
                <w:sz w:val="17"/>
              </w:rPr>
              <w:t>0.05 ms</w:t>
            </w:r>
          </w:p>
        </w:tc>
        <w:tc>
          <w:tcPr>
            <w:tcW w:type="dxa" w:w="1584"/>
            <w:tcMar>
              <w:top w:w="50" w:type="dxa"/>
              <w:bottom w:w="50" w:type="dxa"/>
              <w:left w:w="80" w:type="dxa"/>
              <w:right w:w="80" w:type="dxa"/>
            </w:tcMar>
            <w:vAlign w:val="center"/>
          </w:tcPr>
          <w:p>
            <w:pPr>
              <w:spacing w:before="20" w:after="20" w:line="252" w:lineRule="auto"/>
            </w:pPr>
            <w:r>
              <w:rPr>
                <w:rFonts w:ascii="Times New Roman" w:hAnsi="Times New Roman"/>
                <w:sz w:val="17"/>
              </w:rPr>
              <w:t>0.44 ms</w:t>
            </w:r>
          </w:p>
        </w:tc>
      </w:tr>
      <w:tr>
        <w:tc>
          <w:tcPr>
            <w:tcW w:type="dxa" w:w="2592"/>
            <w:tcMar>
              <w:top w:w="50" w:type="dxa"/>
              <w:bottom w:w="50" w:type="dxa"/>
              <w:left w:w="80" w:type="dxa"/>
              <w:right w:w="80" w:type="dxa"/>
            </w:tcMar>
            <w:vAlign w:val="center"/>
          </w:tcPr>
          <w:p>
            <w:pPr>
              <w:spacing w:before="20" w:after="20" w:line="252" w:lineRule="auto"/>
            </w:pPr>
            <w:r>
              <w:rPr>
                <w:rFonts w:ascii="Times New Roman" w:hAnsi="Times New Roman"/>
                <w:sz w:val="17"/>
              </w:rPr>
              <w:t>Greedy AI</w:t>
            </w:r>
          </w:p>
        </w:tc>
        <w:tc>
          <w:tcPr>
            <w:tcW w:type="dxa" w:w="2592"/>
            <w:tcMar>
              <w:top w:w="50" w:type="dxa"/>
              <w:bottom w:w="50" w:type="dxa"/>
              <w:left w:w="80" w:type="dxa"/>
              <w:right w:w="80" w:type="dxa"/>
            </w:tcMar>
            <w:vAlign w:val="center"/>
          </w:tcPr>
          <w:p>
            <w:pPr>
              <w:spacing w:before="20" w:after="20" w:line="252" w:lineRule="auto"/>
            </w:pPr>
            <w:r>
              <w:rPr>
                <w:rFonts w:ascii="Times New Roman" w:hAnsi="Times New Roman"/>
                <w:sz w:val="17"/>
              </w:rPr>
              <w:t>Always purchase if cash &gt;= cost</w:t>
            </w:r>
          </w:p>
        </w:tc>
        <w:tc>
          <w:tcPr>
            <w:tcW w:type="dxa" w:w="2592"/>
            <w:tcMar>
              <w:top w:w="50" w:type="dxa"/>
              <w:bottom w:w="50" w:type="dxa"/>
              <w:left w:w="80" w:type="dxa"/>
              <w:right w:w="80" w:type="dxa"/>
            </w:tcMar>
            <w:vAlign w:val="center"/>
          </w:tcPr>
          <w:p>
            <w:pPr>
              <w:spacing w:before="20" w:after="20" w:line="252" w:lineRule="auto"/>
            </w:pPr>
            <w:r>
              <w:rPr>
                <w:rFonts w:ascii="Times New Roman" w:hAnsi="Times New Roman"/>
                <w:sz w:val="17"/>
              </w:rPr>
              <w:t>Immediate upgrade</w:t>
            </w:r>
          </w:p>
        </w:tc>
        <w:tc>
          <w:tcPr>
            <w:tcW w:type="dxa" w:w="1584"/>
            <w:tcMar>
              <w:top w:w="50" w:type="dxa"/>
              <w:bottom w:w="50" w:type="dxa"/>
              <w:left w:w="80" w:type="dxa"/>
              <w:right w:w="80" w:type="dxa"/>
            </w:tcMar>
            <w:vAlign w:val="center"/>
          </w:tcPr>
          <w:p>
            <w:pPr>
              <w:spacing w:before="20" w:after="20" w:line="252" w:lineRule="auto"/>
            </w:pPr>
            <w:r>
              <w:rPr>
                <w:rFonts w:ascii="Times New Roman" w:hAnsi="Times New Roman"/>
                <w:sz w:val="17"/>
              </w:rPr>
              <w:t>0.12 ms</w:t>
            </w:r>
          </w:p>
        </w:tc>
        <w:tc>
          <w:tcPr>
            <w:tcW w:type="dxa" w:w="1440"/>
            <w:tcMar>
              <w:top w:w="50" w:type="dxa"/>
              <w:bottom w:w="50" w:type="dxa"/>
              <w:left w:w="80" w:type="dxa"/>
              <w:right w:w="80" w:type="dxa"/>
            </w:tcMar>
            <w:vAlign w:val="center"/>
          </w:tcPr>
          <w:p>
            <w:pPr>
              <w:spacing w:before="20" w:after="20" w:line="252" w:lineRule="auto"/>
            </w:pPr>
            <w:r>
              <w:rPr>
                <w:rFonts w:ascii="Times New Roman" w:hAnsi="Times New Roman"/>
                <w:sz w:val="17"/>
              </w:rPr>
              <w:t>0.04 ms</w:t>
            </w:r>
          </w:p>
        </w:tc>
        <w:tc>
          <w:tcPr>
            <w:tcW w:type="dxa" w:w="1584"/>
            <w:tcMar>
              <w:top w:w="50" w:type="dxa"/>
              <w:bottom w:w="50" w:type="dxa"/>
              <w:left w:w="80" w:type="dxa"/>
              <w:right w:w="80" w:type="dxa"/>
            </w:tcMar>
            <w:vAlign w:val="center"/>
          </w:tcPr>
          <w:p>
            <w:pPr>
              <w:spacing w:before="20" w:after="20" w:line="252" w:lineRule="auto"/>
            </w:pPr>
            <w:r>
              <w:rPr>
                <w:rFonts w:ascii="Times New Roman" w:hAnsi="Times New Roman"/>
                <w:sz w:val="17"/>
              </w:rPr>
              <w:t>0.31 ms</w:t>
            </w:r>
          </w:p>
        </w:tc>
      </w:tr>
      <w:tr>
        <w:tc>
          <w:tcPr>
            <w:tcW w:type="dxa" w:w="2592"/>
            <w:tcMar>
              <w:top w:w="50" w:type="dxa"/>
              <w:bottom w:w="50" w:type="dxa"/>
              <w:left w:w="80" w:type="dxa"/>
              <w:right w:w="80" w:type="dxa"/>
            </w:tcMar>
            <w:vAlign w:val="center"/>
          </w:tcPr>
          <w:p>
            <w:pPr>
              <w:spacing w:before="20" w:after="20" w:line="252" w:lineRule="auto"/>
            </w:pPr>
            <w:r>
              <w:rPr>
                <w:rFonts w:ascii="Times New Roman" w:hAnsi="Times New Roman"/>
                <w:sz w:val="17"/>
              </w:rPr>
              <w:t>Naive Random AI</w:t>
            </w:r>
          </w:p>
        </w:tc>
        <w:tc>
          <w:tcPr>
            <w:tcW w:type="dxa" w:w="2592"/>
            <w:tcMar>
              <w:top w:w="50" w:type="dxa"/>
              <w:bottom w:w="50" w:type="dxa"/>
              <w:left w:w="80" w:type="dxa"/>
              <w:right w:w="80" w:type="dxa"/>
            </w:tcMar>
            <w:vAlign w:val="center"/>
          </w:tcPr>
          <w:p>
            <w:pPr>
              <w:spacing w:before="20" w:after="20" w:line="252" w:lineRule="auto"/>
            </w:pPr>
            <w:r>
              <w:rPr>
                <w:rFonts w:ascii="Times New Roman" w:hAnsi="Times New Roman"/>
                <w:sz w:val="17"/>
              </w:rPr>
              <w:t>Uniform 50% purchase</w:t>
            </w:r>
          </w:p>
        </w:tc>
        <w:tc>
          <w:tcPr>
            <w:tcW w:type="dxa" w:w="2592"/>
            <w:tcMar>
              <w:top w:w="50" w:type="dxa"/>
              <w:bottom w:w="50" w:type="dxa"/>
              <w:left w:w="80" w:type="dxa"/>
              <w:right w:w="80" w:type="dxa"/>
            </w:tcMar>
            <w:vAlign w:val="center"/>
          </w:tcPr>
          <w:p>
            <w:pPr>
              <w:spacing w:before="20" w:after="20" w:line="252" w:lineRule="auto"/>
            </w:pPr>
            <w:r>
              <w:rPr>
                <w:rFonts w:ascii="Times New Roman" w:hAnsi="Times New Roman"/>
                <w:sz w:val="17"/>
              </w:rPr>
              <w:t>Uniform 50% upgrade</w:t>
            </w:r>
          </w:p>
        </w:tc>
        <w:tc>
          <w:tcPr>
            <w:tcW w:type="dxa" w:w="1584"/>
            <w:tcMar>
              <w:top w:w="50" w:type="dxa"/>
              <w:bottom w:w="50" w:type="dxa"/>
              <w:left w:w="80" w:type="dxa"/>
              <w:right w:w="80" w:type="dxa"/>
            </w:tcMar>
            <w:vAlign w:val="center"/>
          </w:tcPr>
          <w:p>
            <w:pPr>
              <w:spacing w:before="20" w:after="20" w:line="252" w:lineRule="auto"/>
            </w:pPr>
            <w:r>
              <w:rPr>
                <w:rFonts w:ascii="Times New Roman" w:hAnsi="Times New Roman"/>
                <w:sz w:val="17"/>
              </w:rPr>
              <w:t>0.08 ms</w:t>
            </w:r>
          </w:p>
        </w:tc>
        <w:tc>
          <w:tcPr>
            <w:tcW w:type="dxa" w:w="1440"/>
            <w:tcMar>
              <w:top w:w="50" w:type="dxa"/>
              <w:bottom w:w="50" w:type="dxa"/>
              <w:left w:w="80" w:type="dxa"/>
              <w:right w:w="80" w:type="dxa"/>
            </w:tcMar>
            <w:vAlign w:val="center"/>
          </w:tcPr>
          <w:p>
            <w:pPr>
              <w:spacing w:before="20" w:after="20" w:line="252" w:lineRule="auto"/>
            </w:pPr>
            <w:r>
              <w:rPr>
                <w:rFonts w:ascii="Times New Roman" w:hAnsi="Times New Roman"/>
                <w:sz w:val="17"/>
              </w:rPr>
              <w:t>0.03 ms</w:t>
            </w:r>
          </w:p>
        </w:tc>
        <w:tc>
          <w:tcPr>
            <w:tcW w:type="dxa" w:w="1584"/>
            <w:tcMar>
              <w:top w:w="50" w:type="dxa"/>
              <w:bottom w:w="50" w:type="dxa"/>
              <w:left w:w="80" w:type="dxa"/>
              <w:right w:w="80" w:type="dxa"/>
            </w:tcMar>
            <w:vAlign w:val="center"/>
          </w:tcPr>
          <w:p>
            <w:pPr>
              <w:spacing w:before="20" w:after="20" w:line="252" w:lineRule="auto"/>
            </w:pPr>
            <w:r>
              <w:rPr>
                <w:rFonts w:ascii="Times New Roman" w:hAnsi="Times New Roman"/>
                <w:sz w:val="17"/>
              </w:rPr>
              <w:t>0.22 ms</w:t>
            </w:r>
          </w:p>
        </w:tc>
      </w:tr>
    </w:tbl>
    <w:p>
      <w:pPr>
        <w:spacing w:before="0" w:after="80" w:line="276" w:lineRule="auto"/>
        <w:ind w:firstLine="360"/>
        <w:jc w:val="both"/>
      </w:pPr>
      <w:r>
        <w:rPr>
          <w:rFonts w:ascii="Times New Roman" w:hAnsi="Times New Roman"/>
          <w:sz w:val="20"/>
        </w:rPr>
        <w:t>Deck Shuffling Empirical Verification: Simulating 2,000 card draw iterations confirmed that the Category-Interleaved algorithm restricted consecutive penalty sequences to exactly two cards (maximum observed run = 2, mean run length = 1.14 ± 0.35 cards), whereas standard uniform shuffling produced penalty streaks reaching 5 consecutive draws. A two-sample Kolmogorov-Smirnov test confirmed a statistically significant divergence in maximum streak distributions (D = 0.582, p &lt; 0.0001), validating the theoretical streak-bounding model.</w:t>
      </w:r>
    </w:p>
    <w:p>
      <w:pPr>
        <w:spacing w:before="0" w:after="80" w:line="276" w:lineRule="auto"/>
        <w:ind w:firstLine="360"/>
        <w:jc w:val="both"/>
      </w:pPr>
      <w:r>
        <w:rPr>
          <w:rFonts w:ascii="Times New Roman" w:hAnsi="Times New Roman"/>
          <w:sz w:val="20"/>
        </w:rPr>
        <w:t>Multiplayer Match Simulation Benchmark: Table 5 presents the empirical win rates, bankruptcy frequencies, and pairwise statistical comparisons across 200 four-player simulation matches.</w:t>
      </w:r>
    </w:p>
    <w:p>
      <w:pPr>
        <w:spacing w:before="160" w:after="40"/>
      </w:pPr>
      <w:r>
        <w:rPr>
          <w:rFonts w:ascii="Times New Roman" w:hAnsi="Times New Roman"/>
          <w:b/>
          <w:sz w:val="18"/>
        </w:rPr>
        <w:t>Table 5. Empirical Win Rates, Bankruptcy Rates, and Statistical Significance Across 200 Simulated Matches</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D3D3D3"/>
        </w:tblBorders>
      </w:tblPr>
      <w:tblGrid>
        <w:gridCol w:w="1512"/>
        <w:gridCol w:w="1512"/>
        <w:gridCol w:w="1512"/>
        <w:gridCol w:w="1512"/>
        <w:gridCol w:w="1512"/>
        <w:gridCol w:w="1512"/>
      </w:tblGrid>
      <w:tr>
        <w:trPr>
          <w:tblHeader/>
        </w:trPr>
        <w:tc>
          <w:tcPr>
            <w:tcW w:type="dxa" w:w="2592"/>
            <w:tcMar>
              <w:top w:w="80" w:type="dxa"/>
              <w:bottom w:w="80" w:type="dxa"/>
              <w:left w:w="100" w:type="dxa"/>
              <w:right w:w="100" w:type="dxa"/>
            </w:tcMar>
            <w:shd w:val="clear" w:color="auto" w:fill="EAEAEA"/>
            <w:vAlign w:val="center"/>
          </w:tcPr>
          <w:p>
            <w:pPr>
              <w:spacing w:before="40" w:after="40"/>
              <w:jc w:val="center"/>
            </w:pPr>
            <w:r>
              <w:rPr>
                <w:rFonts w:ascii="Times New Roman" w:hAnsi="Times New Roman"/>
                <w:b/>
                <w:sz w:val="18"/>
              </w:rPr>
              <w:t>Strategy Profile</w:t>
            </w:r>
          </w:p>
        </w:tc>
        <w:tc>
          <w:tcPr>
            <w:tcW w:type="dxa" w:w="1440"/>
            <w:tcMar>
              <w:top w:w="80" w:type="dxa"/>
              <w:bottom w:w="80" w:type="dxa"/>
              <w:left w:w="100" w:type="dxa"/>
              <w:right w:w="100" w:type="dxa"/>
            </w:tcMar>
            <w:shd w:val="clear" w:color="auto" w:fill="EAEAEA"/>
            <w:vAlign w:val="center"/>
          </w:tcPr>
          <w:p>
            <w:pPr>
              <w:spacing w:before="40" w:after="40"/>
              <w:jc w:val="center"/>
            </w:pPr>
            <w:r>
              <w:rPr>
                <w:rFonts w:ascii="Times New Roman" w:hAnsi="Times New Roman"/>
                <w:b/>
                <w:sz w:val="18"/>
              </w:rPr>
              <w:t>Wins (N=200)</w:t>
            </w:r>
          </w:p>
        </w:tc>
        <w:tc>
          <w:tcPr>
            <w:tcW w:type="dxa" w:w="2592"/>
            <w:tcMar>
              <w:top w:w="80" w:type="dxa"/>
              <w:bottom w:w="80" w:type="dxa"/>
              <w:left w:w="100" w:type="dxa"/>
              <w:right w:w="100" w:type="dxa"/>
            </w:tcMar>
            <w:shd w:val="clear" w:color="auto" w:fill="EAEAEA"/>
            <w:vAlign w:val="center"/>
          </w:tcPr>
          <w:p>
            <w:pPr>
              <w:spacing w:before="40" w:after="40"/>
              <w:jc w:val="center"/>
            </w:pPr>
            <w:r>
              <w:rPr>
                <w:rFonts w:ascii="Times New Roman" w:hAnsi="Times New Roman"/>
                <w:b/>
                <w:sz w:val="18"/>
              </w:rPr>
              <w:t>Win Rate (95% CI)</w:t>
            </w:r>
          </w:p>
        </w:tc>
        <w:tc>
          <w:tcPr>
            <w:tcW w:type="dxa" w:w="1728"/>
            <w:tcMar>
              <w:top w:w="80" w:type="dxa"/>
              <w:bottom w:w="80" w:type="dxa"/>
              <w:left w:w="100" w:type="dxa"/>
              <w:right w:w="100" w:type="dxa"/>
            </w:tcMar>
            <w:shd w:val="clear" w:color="auto" w:fill="EAEAEA"/>
            <w:vAlign w:val="center"/>
          </w:tcPr>
          <w:p>
            <w:pPr>
              <w:spacing w:before="40" w:after="40"/>
              <w:jc w:val="center"/>
            </w:pPr>
            <w:r>
              <w:rPr>
                <w:rFonts w:ascii="Times New Roman" w:hAnsi="Times New Roman"/>
                <w:b/>
                <w:sz w:val="18"/>
              </w:rPr>
              <w:t>Bankruptcy Rate</w:t>
            </w:r>
          </w:p>
        </w:tc>
        <w:tc>
          <w:tcPr>
            <w:tcW w:type="dxa" w:w="2016"/>
            <w:tcMar>
              <w:top w:w="80" w:type="dxa"/>
              <w:bottom w:w="80" w:type="dxa"/>
              <w:left w:w="100" w:type="dxa"/>
              <w:right w:w="100" w:type="dxa"/>
            </w:tcMar>
            <w:shd w:val="clear" w:color="auto" w:fill="EAEAEA"/>
            <w:vAlign w:val="center"/>
          </w:tcPr>
          <w:p>
            <w:pPr>
              <w:spacing w:before="40" w:after="40"/>
              <w:jc w:val="center"/>
            </w:pPr>
            <w:r>
              <w:rPr>
                <w:rFonts w:ascii="Times New Roman" w:hAnsi="Times New Roman"/>
                <w:b/>
                <w:sz w:val="18"/>
              </w:rPr>
              <w:t>Pairwise vs. Heuristic</w:t>
            </w:r>
          </w:p>
        </w:tc>
        <w:tc>
          <w:tcPr>
            <w:tcW w:type="dxa" w:w="1872"/>
            <w:tcMar>
              <w:top w:w="80" w:type="dxa"/>
              <w:bottom w:w="80" w:type="dxa"/>
              <w:left w:w="100" w:type="dxa"/>
              <w:right w:w="100" w:type="dxa"/>
            </w:tcMar>
            <w:shd w:val="clear" w:color="auto" w:fill="EAEAEA"/>
            <w:vAlign w:val="center"/>
          </w:tcPr>
          <w:p>
            <w:pPr>
              <w:spacing w:before="40" w:after="40"/>
              <w:jc w:val="center"/>
            </w:pPr>
            <w:r>
              <w:rPr>
                <w:rFonts w:ascii="Times New Roman" w:hAnsi="Times New Roman"/>
                <w:b/>
                <w:sz w:val="18"/>
              </w:rPr>
              <w:t>p-value</w:t>
            </w:r>
          </w:p>
        </w:tc>
      </w:tr>
      <w:tr>
        <w:tc>
          <w:tcPr>
            <w:tcW w:type="dxa" w:w="2592"/>
            <w:tcMar>
              <w:top w:w="50" w:type="dxa"/>
              <w:bottom w:w="50" w:type="dxa"/>
              <w:left w:w="80" w:type="dxa"/>
              <w:right w:w="80" w:type="dxa"/>
            </w:tcMar>
            <w:vAlign w:val="center"/>
          </w:tcPr>
          <w:p>
            <w:pPr>
              <w:spacing w:before="20" w:after="20" w:line="252" w:lineRule="auto"/>
            </w:pPr>
            <w:r>
              <w:rPr>
                <w:rFonts w:ascii="Times New Roman" w:hAnsi="Times New Roman"/>
                <w:sz w:val="17"/>
              </w:rPr>
              <w:t>Proposed Heuristic AI</w:t>
            </w:r>
          </w:p>
        </w:tc>
        <w:tc>
          <w:tcPr>
            <w:tcW w:type="dxa" w:w="1440"/>
            <w:tcMar>
              <w:top w:w="50" w:type="dxa"/>
              <w:bottom w:w="50" w:type="dxa"/>
              <w:left w:w="80" w:type="dxa"/>
              <w:right w:w="80" w:type="dxa"/>
            </w:tcMar>
            <w:vAlign w:val="center"/>
          </w:tcPr>
          <w:p>
            <w:pPr>
              <w:spacing w:before="20" w:after="20" w:line="252" w:lineRule="auto"/>
            </w:pPr>
            <w:r>
              <w:rPr>
                <w:rFonts w:ascii="Times New Roman" w:hAnsi="Times New Roman"/>
                <w:sz w:val="17"/>
              </w:rPr>
              <w:t>70 / 200</w:t>
            </w:r>
          </w:p>
        </w:tc>
        <w:tc>
          <w:tcPr>
            <w:tcW w:type="dxa" w:w="2592"/>
            <w:tcMar>
              <w:top w:w="50" w:type="dxa"/>
              <w:bottom w:w="50" w:type="dxa"/>
              <w:left w:w="80" w:type="dxa"/>
              <w:right w:w="80" w:type="dxa"/>
            </w:tcMar>
            <w:vAlign w:val="center"/>
          </w:tcPr>
          <w:p>
            <w:pPr>
              <w:spacing w:before="20" w:after="20" w:line="252" w:lineRule="auto"/>
            </w:pPr>
            <w:r>
              <w:rPr>
                <w:rFonts w:ascii="Times New Roman" w:hAnsi="Times New Roman"/>
                <w:sz w:val="17"/>
              </w:rPr>
              <w:t>35.0% [28.4%, 41.6%]</w:t>
            </w:r>
          </w:p>
        </w:tc>
        <w:tc>
          <w:tcPr>
            <w:tcW w:type="dxa" w:w="1728"/>
            <w:tcMar>
              <w:top w:w="50" w:type="dxa"/>
              <w:bottom w:w="50" w:type="dxa"/>
              <w:left w:w="80" w:type="dxa"/>
              <w:right w:w="80" w:type="dxa"/>
            </w:tcMar>
            <w:vAlign w:val="center"/>
          </w:tcPr>
          <w:p>
            <w:pPr>
              <w:spacing w:before="20" w:after="20" w:line="252" w:lineRule="auto"/>
            </w:pPr>
            <w:r>
              <w:rPr>
                <w:rFonts w:ascii="Times New Roman" w:hAnsi="Times New Roman"/>
                <w:sz w:val="17"/>
              </w:rPr>
              <w:t>61.5%</w:t>
            </w:r>
          </w:p>
        </w:tc>
        <w:tc>
          <w:tcPr>
            <w:tcW w:type="dxa" w:w="2016"/>
            <w:tcMar>
              <w:top w:w="50" w:type="dxa"/>
              <w:bottom w:w="50" w:type="dxa"/>
              <w:left w:w="80" w:type="dxa"/>
              <w:right w:w="80" w:type="dxa"/>
            </w:tcMar>
            <w:vAlign w:val="center"/>
          </w:tcPr>
          <w:p>
            <w:pPr>
              <w:spacing w:before="20" w:after="20" w:line="252" w:lineRule="auto"/>
            </w:pPr>
            <w:r>
              <w:rPr>
                <w:rFonts w:ascii="Times New Roman" w:hAnsi="Times New Roman"/>
                <w:sz w:val="17"/>
              </w:rPr>
              <w:t>Reference Baseline</w:t>
            </w:r>
          </w:p>
        </w:tc>
        <w:tc>
          <w:tcPr>
            <w:tcW w:type="dxa" w:w="1872"/>
            <w:tcMar>
              <w:top w:w="50" w:type="dxa"/>
              <w:bottom w:w="50" w:type="dxa"/>
              <w:left w:w="80" w:type="dxa"/>
              <w:right w:w="80" w:type="dxa"/>
            </w:tcMar>
            <w:vAlign w:val="center"/>
          </w:tcPr>
          <w:p>
            <w:pPr>
              <w:spacing w:before="20" w:after="20" w:line="252" w:lineRule="auto"/>
            </w:pPr>
            <w:r>
              <w:rPr>
                <w:rFonts w:ascii="Times New Roman" w:hAnsi="Times New Roman"/>
                <w:sz w:val="17"/>
              </w:rPr>
              <w:t>–</w:t>
            </w:r>
          </w:p>
        </w:tc>
      </w:tr>
      <w:tr>
        <w:tc>
          <w:tcPr>
            <w:tcW w:type="dxa" w:w="2592"/>
            <w:tcMar>
              <w:top w:w="50" w:type="dxa"/>
              <w:bottom w:w="50" w:type="dxa"/>
              <w:left w:w="80" w:type="dxa"/>
              <w:right w:w="80" w:type="dxa"/>
            </w:tcMar>
            <w:vAlign w:val="center"/>
          </w:tcPr>
          <w:p>
            <w:pPr>
              <w:spacing w:before="20" w:after="20" w:line="252" w:lineRule="auto"/>
            </w:pPr>
            <w:r>
              <w:rPr>
                <w:rFonts w:ascii="Times New Roman" w:hAnsi="Times New Roman"/>
                <w:sz w:val="17"/>
              </w:rPr>
              <w:t>Static Threshold AI</w:t>
            </w:r>
          </w:p>
        </w:tc>
        <w:tc>
          <w:tcPr>
            <w:tcW w:type="dxa" w:w="1440"/>
            <w:tcMar>
              <w:top w:w="50" w:type="dxa"/>
              <w:bottom w:w="50" w:type="dxa"/>
              <w:left w:w="80" w:type="dxa"/>
              <w:right w:w="80" w:type="dxa"/>
            </w:tcMar>
            <w:vAlign w:val="center"/>
          </w:tcPr>
          <w:p>
            <w:pPr>
              <w:spacing w:before="20" w:after="20" w:line="252" w:lineRule="auto"/>
            </w:pPr>
            <w:r>
              <w:rPr>
                <w:rFonts w:ascii="Times New Roman" w:hAnsi="Times New Roman"/>
                <w:sz w:val="17"/>
              </w:rPr>
              <w:t>57 / 200</w:t>
            </w:r>
          </w:p>
        </w:tc>
        <w:tc>
          <w:tcPr>
            <w:tcW w:type="dxa" w:w="2592"/>
            <w:tcMar>
              <w:top w:w="50" w:type="dxa"/>
              <w:bottom w:w="50" w:type="dxa"/>
              <w:left w:w="80" w:type="dxa"/>
              <w:right w:w="80" w:type="dxa"/>
            </w:tcMar>
            <w:vAlign w:val="center"/>
          </w:tcPr>
          <w:p>
            <w:pPr>
              <w:spacing w:before="20" w:after="20" w:line="252" w:lineRule="auto"/>
            </w:pPr>
            <w:r>
              <w:rPr>
                <w:rFonts w:ascii="Times New Roman" w:hAnsi="Times New Roman"/>
                <w:sz w:val="17"/>
              </w:rPr>
              <w:t>28.5% [22.3%, 34.7%]</w:t>
            </w:r>
          </w:p>
        </w:tc>
        <w:tc>
          <w:tcPr>
            <w:tcW w:type="dxa" w:w="1728"/>
            <w:tcMar>
              <w:top w:w="50" w:type="dxa"/>
              <w:bottom w:w="50" w:type="dxa"/>
              <w:left w:w="80" w:type="dxa"/>
              <w:right w:w="80" w:type="dxa"/>
            </w:tcMar>
            <w:vAlign w:val="center"/>
          </w:tcPr>
          <w:p>
            <w:pPr>
              <w:spacing w:before="20" w:after="20" w:line="252" w:lineRule="auto"/>
            </w:pPr>
            <w:r>
              <w:rPr>
                <w:rFonts w:ascii="Times New Roman" w:hAnsi="Times New Roman"/>
                <w:sz w:val="17"/>
              </w:rPr>
              <w:t>68.0%</w:t>
            </w:r>
          </w:p>
        </w:tc>
        <w:tc>
          <w:tcPr>
            <w:tcW w:type="dxa" w:w="2016"/>
            <w:tcMar>
              <w:top w:w="50" w:type="dxa"/>
              <w:bottom w:w="50" w:type="dxa"/>
              <w:left w:w="80" w:type="dxa"/>
              <w:right w:w="80" w:type="dxa"/>
            </w:tcMar>
            <w:vAlign w:val="center"/>
          </w:tcPr>
          <w:p>
            <w:pPr>
              <w:spacing w:before="20" w:after="20" w:line="252" w:lineRule="auto"/>
            </w:pPr>
            <w:r>
              <w:rPr>
                <w:rFonts w:ascii="Times New Roman" w:hAnsi="Times New Roman"/>
                <w:sz w:val="17"/>
              </w:rPr>
              <w:t>z = 1.39</w:t>
            </w:r>
          </w:p>
        </w:tc>
        <w:tc>
          <w:tcPr>
            <w:tcW w:type="dxa" w:w="1872"/>
            <w:tcMar>
              <w:top w:w="50" w:type="dxa"/>
              <w:bottom w:w="50" w:type="dxa"/>
              <w:left w:w="80" w:type="dxa"/>
              <w:right w:w="80" w:type="dxa"/>
            </w:tcMar>
            <w:vAlign w:val="center"/>
          </w:tcPr>
          <w:p>
            <w:pPr>
              <w:spacing w:before="20" w:after="20" w:line="252" w:lineRule="auto"/>
            </w:pPr>
            <w:r>
              <w:rPr>
                <w:rFonts w:ascii="Times New Roman" w:hAnsi="Times New Roman"/>
                <w:sz w:val="17"/>
              </w:rPr>
              <w:t>p = 0.164 (NS)</w:t>
            </w:r>
          </w:p>
        </w:tc>
      </w:tr>
      <w:tr>
        <w:tc>
          <w:tcPr>
            <w:tcW w:type="dxa" w:w="2592"/>
            <w:tcMar>
              <w:top w:w="50" w:type="dxa"/>
              <w:bottom w:w="50" w:type="dxa"/>
              <w:left w:w="80" w:type="dxa"/>
              <w:right w:w="80" w:type="dxa"/>
            </w:tcMar>
            <w:vAlign w:val="center"/>
          </w:tcPr>
          <w:p>
            <w:pPr>
              <w:spacing w:before="20" w:after="20" w:line="252" w:lineRule="auto"/>
            </w:pPr>
            <w:r>
              <w:rPr>
                <w:rFonts w:ascii="Times New Roman" w:hAnsi="Times New Roman"/>
                <w:sz w:val="17"/>
              </w:rPr>
              <w:t>Greedy AI</w:t>
            </w:r>
          </w:p>
        </w:tc>
        <w:tc>
          <w:tcPr>
            <w:tcW w:type="dxa" w:w="1440"/>
            <w:tcMar>
              <w:top w:w="50" w:type="dxa"/>
              <w:bottom w:w="50" w:type="dxa"/>
              <w:left w:w="80" w:type="dxa"/>
              <w:right w:w="80" w:type="dxa"/>
            </w:tcMar>
            <w:vAlign w:val="center"/>
          </w:tcPr>
          <w:p>
            <w:pPr>
              <w:spacing w:before="20" w:after="20" w:line="252" w:lineRule="auto"/>
            </w:pPr>
            <w:r>
              <w:rPr>
                <w:rFonts w:ascii="Times New Roman" w:hAnsi="Times New Roman"/>
                <w:sz w:val="17"/>
              </w:rPr>
              <w:t>48 / 200</w:t>
            </w:r>
          </w:p>
        </w:tc>
        <w:tc>
          <w:tcPr>
            <w:tcW w:type="dxa" w:w="2592"/>
            <w:tcMar>
              <w:top w:w="50" w:type="dxa"/>
              <w:bottom w:w="50" w:type="dxa"/>
              <w:left w:w="80" w:type="dxa"/>
              <w:right w:w="80" w:type="dxa"/>
            </w:tcMar>
            <w:vAlign w:val="center"/>
          </w:tcPr>
          <w:p>
            <w:pPr>
              <w:spacing w:before="20" w:after="20" w:line="252" w:lineRule="auto"/>
            </w:pPr>
            <w:r>
              <w:rPr>
                <w:rFonts w:ascii="Times New Roman" w:hAnsi="Times New Roman"/>
                <w:sz w:val="17"/>
              </w:rPr>
              <w:t>24.0% [18.1%, 29.9%]</w:t>
            </w:r>
          </w:p>
        </w:tc>
        <w:tc>
          <w:tcPr>
            <w:tcW w:type="dxa" w:w="1728"/>
            <w:tcMar>
              <w:top w:w="50" w:type="dxa"/>
              <w:bottom w:w="50" w:type="dxa"/>
              <w:left w:w="80" w:type="dxa"/>
              <w:right w:w="80" w:type="dxa"/>
            </w:tcMar>
            <w:vAlign w:val="center"/>
          </w:tcPr>
          <w:p>
            <w:pPr>
              <w:spacing w:before="20" w:after="20" w:line="252" w:lineRule="auto"/>
            </w:pPr>
            <w:r>
              <w:rPr>
                <w:rFonts w:ascii="Times New Roman" w:hAnsi="Times New Roman"/>
                <w:sz w:val="17"/>
              </w:rPr>
              <w:t>74.5%</w:t>
            </w:r>
          </w:p>
        </w:tc>
        <w:tc>
          <w:tcPr>
            <w:tcW w:type="dxa" w:w="2016"/>
            <w:tcMar>
              <w:top w:w="50" w:type="dxa"/>
              <w:bottom w:w="50" w:type="dxa"/>
              <w:left w:w="80" w:type="dxa"/>
              <w:right w:w="80" w:type="dxa"/>
            </w:tcMar>
            <w:vAlign w:val="center"/>
          </w:tcPr>
          <w:p>
            <w:pPr>
              <w:spacing w:before="20" w:after="20" w:line="252" w:lineRule="auto"/>
            </w:pPr>
            <w:r>
              <w:rPr>
                <w:rFonts w:ascii="Times New Roman" w:hAnsi="Times New Roman"/>
                <w:sz w:val="17"/>
              </w:rPr>
              <w:t>z = 2.44</w:t>
            </w:r>
          </w:p>
        </w:tc>
        <w:tc>
          <w:tcPr>
            <w:tcW w:type="dxa" w:w="1872"/>
            <w:tcMar>
              <w:top w:w="50" w:type="dxa"/>
              <w:bottom w:w="50" w:type="dxa"/>
              <w:left w:w="80" w:type="dxa"/>
              <w:right w:w="80" w:type="dxa"/>
            </w:tcMar>
            <w:vAlign w:val="center"/>
          </w:tcPr>
          <w:p>
            <w:pPr>
              <w:spacing w:before="20" w:after="20" w:line="252" w:lineRule="auto"/>
            </w:pPr>
            <w:r>
              <w:rPr>
                <w:rFonts w:ascii="Times New Roman" w:hAnsi="Times New Roman"/>
                <w:sz w:val="17"/>
              </w:rPr>
              <w:t>p = 0.015 *</w:t>
            </w:r>
          </w:p>
        </w:tc>
      </w:tr>
      <w:tr>
        <w:tc>
          <w:tcPr>
            <w:tcW w:type="dxa" w:w="2592"/>
            <w:tcMar>
              <w:top w:w="50" w:type="dxa"/>
              <w:bottom w:w="50" w:type="dxa"/>
              <w:left w:w="80" w:type="dxa"/>
              <w:right w:w="80" w:type="dxa"/>
            </w:tcMar>
            <w:vAlign w:val="center"/>
          </w:tcPr>
          <w:p>
            <w:pPr>
              <w:spacing w:before="20" w:after="20" w:line="252" w:lineRule="auto"/>
            </w:pPr>
            <w:r>
              <w:rPr>
                <w:rFonts w:ascii="Times New Roman" w:hAnsi="Times New Roman"/>
                <w:sz w:val="17"/>
              </w:rPr>
              <w:t>Naive Random AI</w:t>
            </w:r>
          </w:p>
        </w:tc>
        <w:tc>
          <w:tcPr>
            <w:tcW w:type="dxa" w:w="1440"/>
            <w:tcMar>
              <w:top w:w="50" w:type="dxa"/>
              <w:bottom w:w="50" w:type="dxa"/>
              <w:left w:w="80" w:type="dxa"/>
              <w:right w:w="80" w:type="dxa"/>
            </w:tcMar>
            <w:vAlign w:val="center"/>
          </w:tcPr>
          <w:p>
            <w:pPr>
              <w:spacing w:before="20" w:after="20" w:line="252" w:lineRule="auto"/>
            </w:pPr>
            <w:r>
              <w:rPr>
                <w:rFonts w:ascii="Times New Roman" w:hAnsi="Times New Roman"/>
                <w:sz w:val="17"/>
              </w:rPr>
              <w:t>25 / 200</w:t>
            </w:r>
          </w:p>
        </w:tc>
        <w:tc>
          <w:tcPr>
            <w:tcW w:type="dxa" w:w="2592"/>
            <w:tcMar>
              <w:top w:w="50" w:type="dxa"/>
              <w:bottom w:w="50" w:type="dxa"/>
              <w:left w:w="80" w:type="dxa"/>
              <w:right w:w="80" w:type="dxa"/>
            </w:tcMar>
            <w:vAlign w:val="center"/>
          </w:tcPr>
          <w:p>
            <w:pPr>
              <w:spacing w:before="20" w:after="20" w:line="252" w:lineRule="auto"/>
            </w:pPr>
            <w:r>
              <w:rPr>
                <w:rFonts w:ascii="Times New Roman" w:hAnsi="Times New Roman"/>
                <w:sz w:val="17"/>
              </w:rPr>
              <w:t>12.5% [7.9%, 17.1%]</w:t>
            </w:r>
          </w:p>
        </w:tc>
        <w:tc>
          <w:tcPr>
            <w:tcW w:type="dxa" w:w="1728"/>
            <w:tcMar>
              <w:top w:w="50" w:type="dxa"/>
              <w:bottom w:w="50" w:type="dxa"/>
              <w:left w:w="80" w:type="dxa"/>
              <w:right w:w="80" w:type="dxa"/>
            </w:tcMar>
            <w:vAlign w:val="center"/>
          </w:tcPr>
          <w:p>
            <w:pPr>
              <w:spacing w:before="20" w:after="20" w:line="252" w:lineRule="auto"/>
            </w:pPr>
            <w:r>
              <w:rPr>
                <w:rFonts w:ascii="Times New Roman" w:hAnsi="Times New Roman"/>
                <w:sz w:val="17"/>
              </w:rPr>
              <w:t>86.0%</w:t>
            </w:r>
          </w:p>
        </w:tc>
        <w:tc>
          <w:tcPr>
            <w:tcW w:type="dxa" w:w="2016"/>
            <w:tcMar>
              <w:top w:w="50" w:type="dxa"/>
              <w:bottom w:w="50" w:type="dxa"/>
              <w:left w:w="80" w:type="dxa"/>
              <w:right w:w="80" w:type="dxa"/>
            </w:tcMar>
            <w:vAlign w:val="center"/>
          </w:tcPr>
          <w:p>
            <w:pPr>
              <w:spacing w:before="20" w:after="20" w:line="252" w:lineRule="auto"/>
            </w:pPr>
            <w:r>
              <w:rPr>
                <w:rFonts w:ascii="Times New Roman" w:hAnsi="Times New Roman"/>
                <w:sz w:val="17"/>
              </w:rPr>
              <w:t>z = 5.22</w:t>
            </w:r>
          </w:p>
        </w:tc>
        <w:tc>
          <w:tcPr>
            <w:tcW w:type="dxa" w:w="1872"/>
            <w:tcMar>
              <w:top w:w="50" w:type="dxa"/>
              <w:bottom w:w="50" w:type="dxa"/>
              <w:left w:w="80" w:type="dxa"/>
              <w:right w:w="80" w:type="dxa"/>
            </w:tcMar>
            <w:vAlign w:val="center"/>
          </w:tcPr>
          <w:p>
            <w:pPr>
              <w:spacing w:before="20" w:after="20" w:line="252" w:lineRule="auto"/>
            </w:pPr>
            <w:r>
              <w:rPr>
                <w:rFonts w:ascii="Times New Roman" w:hAnsi="Times New Roman"/>
                <w:sz w:val="17"/>
              </w:rPr>
              <w:t>p &lt; 0.0001 ***</w:t>
            </w:r>
          </w:p>
        </w:tc>
      </w:tr>
    </w:tbl>
    <w:p>
      <w:pPr>
        <w:spacing w:before="0" w:after="80" w:line="276" w:lineRule="auto"/>
        <w:ind w:firstLine="360"/>
        <w:jc w:val="both"/>
      </w:pPr>
      <w:r>
        <w:rPr>
          <w:rFonts w:ascii="Times New Roman" w:hAnsi="Times New Roman"/>
          <w:sz w:val="20"/>
        </w:rPr>
        <w:t>As documented in Table 5, overall win rate distribution differed significantly from uniform distribution (Chi-square = 28.64, df = 3, p &lt; 0.0001). Pairwise two-proportion z-tests confirmed that the Proposed Heuristic AI achieved statistically significant win rate advantages over Naive Random play (p &lt; 0.0001) and Greedy over-leveraging (p = 0.015). Furthermore, inter-run stability analysis across 4 sequential batches of 50 matches demonstrated consistent win rates of 34.0%, 36.0%, 34.0%, and 36.0% (variance = 1.33%), confirming that observed performance advantages reflect strategic heuristics rather than stochastic simulation artifacts.</w:t>
      </w:r>
    </w:p>
    <w:p>
      <w:pPr>
        <w:spacing w:before="0" w:after="80" w:line="276" w:lineRule="auto"/>
        <w:ind w:firstLine="360"/>
        <w:jc w:val="both"/>
      </w:pPr>
      <w:r>
        <w:rPr>
          <w:rFonts w:ascii="Times New Roman" w:hAnsi="Times New Roman"/>
          <w:sz w:val="20"/>
        </w:rPr>
        <w:t>Concurrency Stress Benchmarking and Usability Evaluation: In the ApacheBench stress test across 5 independent benchmark runs, the server achieved a mean throughput of 450.4 ± 5.8 requests/second with zero failed requests, zero connection timeouts, a mean connection latency of 110.1 ms, and a mean time per request of 2.20 ms. Live production telemetry collected across 31 multiplayer room sessions comprising 70 observed player instances recorded zero state corruption events. Finally, the standardized 10-item System Usability Scale (SUS) questionnaire completed by thirty voluntary respondents yielded an aggregate score of 84.50 ± 7.20. Table 6 summarizes the concurrency and usability evaluation metrics.</w:t>
      </w:r>
    </w:p>
    <w:p>
      <w:pPr>
        <w:spacing w:before="160" w:after="40"/>
      </w:pPr>
      <w:r>
        <w:rPr>
          <w:rFonts w:ascii="Times New Roman" w:hAnsi="Times New Roman"/>
          <w:b/>
          <w:sz w:val="18"/>
        </w:rPr>
        <w:t>Table 6. Concurrency Stress Test Parameters, Live Production Telemetry, and Usability Metrics</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D3D3D3"/>
        </w:tblBorders>
      </w:tblPr>
      <w:tblGrid>
        <w:gridCol w:w="3023"/>
        <w:gridCol w:w="3023"/>
        <w:gridCol w:w="3023"/>
      </w:tblGrid>
      <w:tr>
        <w:trPr>
          <w:tblHeader/>
        </w:trPr>
        <w:tc>
          <w:tcPr>
            <w:tcW w:type="dxa" w:w="3456"/>
            <w:tcMar>
              <w:top w:w="80" w:type="dxa"/>
              <w:bottom w:w="80" w:type="dxa"/>
              <w:left w:w="100" w:type="dxa"/>
              <w:right w:w="100" w:type="dxa"/>
            </w:tcMar>
            <w:shd w:val="clear" w:color="auto" w:fill="EAEAEA"/>
            <w:vAlign w:val="center"/>
          </w:tcPr>
          <w:p>
            <w:pPr>
              <w:spacing w:before="40" w:after="40"/>
              <w:jc w:val="center"/>
            </w:pPr>
            <w:r>
              <w:rPr>
                <w:rFonts w:ascii="Times New Roman" w:hAnsi="Times New Roman"/>
                <w:b/>
                <w:sz w:val="18"/>
              </w:rPr>
              <w:t>Evaluation Metric / Dimension</w:t>
            </w:r>
          </w:p>
        </w:tc>
        <w:tc>
          <w:tcPr>
            <w:tcW w:type="dxa" w:w="3312"/>
            <w:tcMar>
              <w:top w:w="80" w:type="dxa"/>
              <w:bottom w:w="80" w:type="dxa"/>
              <w:left w:w="100" w:type="dxa"/>
              <w:right w:w="100" w:type="dxa"/>
            </w:tcMar>
            <w:shd w:val="clear" w:color="auto" w:fill="EAEAEA"/>
            <w:vAlign w:val="center"/>
          </w:tcPr>
          <w:p>
            <w:pPr>
              <w:spacing w:before="40" w:after="40"/>
              <w:jc w:val="center"/>
            </w:pPr>
            <w:r>
              <w:rPr>
                <w:rFonts w:ascii="Times New Roman" w:hAnsi="Times New Roman"/>
                <w:b/>
                <w:sz w:val="18"/>
              </w:rPr>
              <w:t>Observed Value</w:t>
            </w:r>
          </w:p>
        </w:tc>
        <w:tc>
          <w:tcPr>
            <w:tcW w:type="dxa" w:w="3888"/>
            <w:tcMar>
              <w:top w:w="80" w:type="dxa"/>
              <w:bottom w:w="80" w:type="dxa"/>
              <w:left w:w="100" w:type="dxa"/>
              <w:right w:w="100" w:type="dxa"/>
            </w:tcMar>
            <w:shd w:val="clear" w:color="auto" w:fill="EAEAEA"/>
            <w:vAlign w:val="center"/>
          </w:tcPr>
          <w:p>
            <w:pPr>
              <w:spacing w:before="40" w:after="40"/>
              <w:jc w:val="center"/>
            </w:pPr>
            <w:r>
              <w:rPr>
                <w:rFonts w:ascii="Times New Roman" w:hAnsi="Times New Roman"/>
                <w:b/>
                <w:sz w:val="18"/>
              </w:rPr>
              <w:t>Operational Specification</w:t>
            </w:r>
          </w:p>
        </w:tc>
      </w:tr>
      <w:tr>
        <w:tc>
          <w:tcPr>
            <w:tcW w:type="dxa" w:w="3456"/>
            <w:tcMar>
              <w:top w:w="50" w:type="dxa"/>
              <w:bottom w:w="50" w:type="dxa"/>
              <w:left w:w="80" w:type="dxa"/>
              <w:right w:w="80" w:type="dxa"/>
            </w:tcMar>
            <w:vAlign w:val="center"/>
          </w:tcPr>
          <w:p>
            <w:pPr>
              <w:spacing w:before="20" w:after="20" w:line="252" w:lineRule="auto"/>
            </w:pPr>
            <w:r>
              <w:rPr>
                <w:rFonts w:ascii="Times New Roman" w:hAnsi="Times New Roman"/>
                <w:sz w:val="17"/>
              </w:rPr>
              <w:t>ApacheBench Workload</w:t>
            </w:r>
          </w:p>
        </w:tc>
        <w:tc>
          <w:tcPr>
            <w:tcW w:type="dxa" w:w="3312"/>
            <w:tcMar>
              <w:top w:w="50" w:type="dxa"/>
              <w:bottom w:w="50" w:type="dxa"/>
              <w:left w:w="80" w:type="dxa"/>
              <w:right w:w="80" w:type="dxa"/>
            </w:tcMar>
            <w:vAlign w:val="center"/>
          </w:tcPr>
          <w:p>
            <w:pPr>
              <w:spacing w:before="20" w:after="20" w:line="252" w:lineRule="auto"/>
            </w:pPr>
            <w:r>
              <w:rPr>
                <w:rFonts w:ascii="Times New Roman" w:hAnsi="Times New Roman"/>
                <w:sz w:val="17"/>
              </w:rPr>
              <w:t>1,000 requests, c=50 (5 runs)</w:t>
            </w:r>
          </w:p>
        </w:tc>
        <w:tc>
          <w:tcPr>
            <w:tcW w:type="dxa" w:w="3888"/>
            <w:tcMar>
              <w:top w:w="50" w:type="dxa"/>
              <w:bottom w:w="50" w:type="dxa"/>
              <w:left w:w="80" w:type="dxa"/>
              <w:right w:w="80" w:type="dxa"/>
            </w:tcMar>
            <w:vAlign w:val="center"/>
          </w:tcPr>
          <w:p>
            <w:pPr>
              <w:spacing w:before="20" w:after="20" w:line="252" w:lineRule="auto"/>
            </w:pPr>
            <w:r>
              <w:rPr>
                <w:rFonts w:ascii="Times New Roman" w:hAnsi="Times New Roman"/>
                <w:sz w:val="17"/>
              </w:rPr>
              <w:t>Standardized stress test workload on /api/room/status</w:t>
            </w:r>
          </w:p>
        </w:tc>
      </w:tr>
      <w:tr>
        <w:tc>
          <w:tcPr>
            <w:tcW w:type="dxa" w:w="3456"/>
            <w:tcMar>
              <w:top w:w="50" w:type="dxa"/>
              <w:bottom w:w="50" w:type="dxa"/>
              <w:left w:w="80" w:type="dxa"/>
              <w:right w:w="80" w:type="dxa"/>
            </w:tcMar>
            <w:vAlign w:val="center"/>
          </w:tcPr>
          <w:p>
            <w:pPr>
              <w:spacing w:before="20" w:after="20" w:line="252" w:lineRule="auto"/>
            </w:pPr>
            <w:r>
              <w:rPr>
                <w:rFonts w:ascii="Times New Roman" w:hAnsi="Times New Roman"/>
                <w:sz w:val="17"/>
              </w:rPr>
              <w:t>Mean Server Throughput</w:t>
            </w:r>
          </w:p>
        </w:tc>
        <w:tc>
          <w:tcPr>
            <w:tcW w:type="dxa" w:w="3312"/>
            <w:tcMar>
              <w:top w:w="50" w:type="dxa"/>
              <w:bottom w:w="50" w:type="dxa"/>
              <w:left w:w="80" w:type="dxa"/>
              <w:right w:w="80" w:type="dxa"/>
            </w:tcMar>
            <w:vAlign w:val="center"/>
          </w:tcPr>
          <w:p>
            <w:pPr>
              <w:spacing w:before="20" w:after="20" w:line="252" w:lineRule="auto"/>
            </w:pPr>
            <w:r>
              <w:rPr>
                <w:rFonts w:ascii="Times New Roman" w:hAnsi="Times New Roman"/>
                <w:sz w:val="17"/>
              </w:rPr>
              <w:t>450.4 ± 5.8 requests/second</w:t>
            </w:r>
          </w:p>
        </w:tc>
        <w:tc>
          <w:tcPr>
            <w:tcW w:type="dxa" w:w="3888"/>
            <w:tcMar>
              <w:top w:w="50" w:type="dxa"/>
              <w:bottom w:w="50" w:type="dxa"/>
              <w:left w:w="80" w:type="dxa"/>
              <w:right w:w="80" w:type="dxa"/>
            </w:tcMar>
            <w:vAlign w:val="center"/>
          </w:tcPr>
          <w:p>
            <w:pPr>
              <w:spacing w:before="20" w:after="20" w:line="252" w:lineRule="auto"/>
            </w:pPr>
            <w:r>
              <w:rPr>
                <w:rFonts w:ascii="Times New Roman" w:hAnsi="Times New Roman"/>
                <w:sz w:val="17"/>
              </w:rPr>
              <w:t>48.3x throughput margin over peak polling load (9.33 req/s)</w:t>
            </w:r>
          </w:p>
        </w:tc>
      </w:tr>
      <w:tr>
        <w:tc>
          <w:tcPr>
            <w:tcW w:type="dxa" w:w="3456"/>
            <w:tcMar>
              <w:top w:w="50" w:type="dxa"/>
              <w:bottom w:w="50" w:type="dxa"/>
              <w:left w:w="80" w:type="dxa"/>
              <w:right w:w="80" w:type="dxa"/>
            </w:tcMar>
            <w:vAlign w:val="center"/>
          </w:tcPr>
          <w:p>
            <w:pPr>
              <w:spacing w:before="20" w:after="20" w:line="252" w:lineRule="auto"/>
            </w:pPr>
            <w:r>
              <w:rPr>
                <w:rFonts w:ascii="Times New Roman" w:hAnsi="Times New Roman"/>
                <w:sz w:val="17"/>
              </w:rPr>
              <w:t>Failed Requests / Dropouts</w:t>
            </w:r>
          </w:p>
        </w:tc>
        <w:tc>
          <w:tcPr>
            <w:tcW w:type="dxa" w:w="3312"/>
            <w:tcMar>
              <w:top w:w="50" w:type="dxa"/>
              <w:bottom w:w="50" w:type="dxa"/>
              <w:left w:w="80" w:type="dxa"/>
              <w:right w:w="80" w:type="dxa"/>
            </w:tcMar>
            <w:vAlign w:val="center"/>
          </w:tcPr>
          <w:p>
            <w:pPr>
              <w:spacing w:before="20" w:after="20" w:line="252" w:lineRule="auto"/>
            </w:pPr>
            <w:r>
              <w:rPr>
                <w:rFonts w:ascii="Times New Roman" w:hAnsi="Times New Roman"/>
                <w:sz w:val="17"/>
              </w:rPr>
              <w:t>0 failures (0.0%)</w:t>
            </w:r>
          </w:p>
        </w:tc>
        <w:tc>
          <w:tcPr>
            <w:tcW w:type="dxa" w:w="3888"/>
            <w:tcMar>
              <w:top w:w="50" w:type="dxa"/>
              <w:bottom w:w="50" w:type="dxa"/>
              <w:left w:w="80" w:type="dxa"/>
              <w:right w:w="80" w:type="dxa"/>
            </w:tcMar>
            <w:vAlign w:val="center"/>
          </w:tcPr>
          <w:p>
            <w:pPr>
              <w:spacing w:before="20" w:after="20" w:line="252" w:lineRule="auto"/>
            </w:pPr>
            <w:r>
              <w:rPr>
                <w:rFonts w:ascii="Times New Roman" w:hAnsi="Times New Roman"/>
                <w:sz w:val="17"/>
              </w:rPr>
              <w:t>Zero HTTP timeouts or connection dropouts under load</w:t>
            </w:r>
          </w:p>
        </w:tc>
      </w:tr>
      <w:tr>
        <w:tc>
          <w:tcPr>
            <w:tcW w:type="dxa" w:w="3456"/>
            <w:tcMar>
              <w:top w:w="50" w:type="dxa"/>
              <w:bottom w:w="50" w:type="dxa"/>
              <w:left w:w="80" w:type="dxa"/>
              <w:right w:w="80" w:type="dxa"/>
            </w:tcMar>
            <w:vAlign w:val="center"/>
          </w:tcPr>
          <w:p>
            <w:pPr>
              <w:spacing w:before="20" w:after="20" w:line="252" w:lineRule="auto"/>
            </w:pPr>
            <w:r>
              <w:rPr>
                <w:rFonts w:ascii="Times New Roman" w:hAnsi="Times New Roman"/>
                <w:sz w:val="17"/>
              </w:rPr>
              <w:t>Mean Request Latency</w:t>
            </w:r>
          </w:p>
        </w:tc>
        <w:tc>
          <w:tcPr>
            <w:tcW w:type="dxa" w:w="3312"/>
            <w:tcMar>
              <w:top w:w="50" w:type="dxa"/>
              <w:bottom w:w="50" w:type="dxa"/>
              <w:left w:w="80" w:type="dxa"/>
              <w:right w:w="80" w:type="dxa"/>
            </w:tcMar>
            <w:vAlign w:val="center"/>
          </w:tcPr>
          <w:p>
            <w:pPr>
              <w:spacing w:before="20" w:after="20" w:line="252" w:lineRule="auto"/>
            </w:pPr>
            <w:r>
              <w:rPr>
                <w:rFonts w:ascii="Times New Roman" w:hAnsi="Times New Roman"/>
                <w:sz w:val="17"/>
              </w:rPr>
              <w:t>2.20 ms (across all concurrent req)</w:t>
            </w:r>
          </w:p>
        </w:tc>
        <w:tc>
          <w:tcPr>
            <w:tcW w:type="dxa" w:w="3888"/>
            <w:tcMar>
              <w:top w:w="50" w:type="dxa"/>
              <w:bottom w:w="50" w:type="dxa"/>
              <w:left w:w="80" w:type="dxa"/>
              <w:right w:w="80" w:type="dxa"/>
            </w:tcMar>
            <w:vAlign w:val="center"/>
          </w:tcPr>
          <w:p>
            <w:pPr>
              <w:spacing w:before="20" w:after="20" w:line="252" w:lineRule="auto"/>
            </w:pPr>
            <w:r>
              <w:rPr>
                <w:rFonts w:ascii="Times New Roman" w:hAnsi="Times New Roman"/>
                <w:sz w:val="17"/>
              </w:rPr>
              <w:t>Serialized 1.82 KB JSON state payload with flock() lock</w:t>
            </w:r>
          </w:p>
        </w:tc>
      </w:tr>
      <w:tr>
        <w:tc>
          <w:tcPr>
            <w:tcW w:type="dxa" w:w="3456"/>
            <w:tcMar>
              <w:top w:w="50" w:type="dxa"/>
              <w:bottom w:w="50" w:type="dxa"/>
              <w:left w:w="80" w:type="dxa"/>
              <w:right w:w="80" w:type="dxa"/>
            </w:tcMar>
            <w:vAlign w:val="center"/>
          </w:tcPr>
          <w:p>
            <w:pPr>
              <w:spacing w:before="20" w:after="20" w:line="252" w:lineRule="auto"/>
            </w:pPr>
            <w:r>
              <w:rPr>
                <w:rFonts w:ascii="Times New Roman" w:hAnsi="Times New Roman"/>
                <w:sz w:val="17"/>
              </w:rPr>
              <w:t>Live Multiplayer Sessions</w:t>
            </w:r>
          </w:p>
        </w:tc>
        <w:tc>
          <w:tcPr>
            <w:tcW w:type="dxa" w:w="3312"/>
            <w:tcMar>
              <w:top w:w="50" w:type="dxa"/>
              <w:bottom w:w="50" w:type="dxa"/>
              <w:left w:w="80" w:type="dxa"/>
              <w:right w:w="80" w:type="dxa"/>
            </w:tcMar>
            <w:vAlign w:val="center"/>
          </w:tcPr>
          <w:p>
            <w:pPr>
              <w:spacing w:before="20" w:after="20" w:line="252" w:lineRule="auto"/>
            </w:pPr>
            <w:r>
              <w:rPr>
                <w:rFonts w:ascii="Times New Roman" w:hAnsi="Times New Roman"/>
                <w:sz w:val="17"/>
              </w:rPr>
              <w:t>31 sessions, 70 player instances</w:t>
            </w:r>
          </w:p>
        </w:tc>
        <w:tc>
          <w:tcPr>
            <w:tcW w:type="dxa" w:w="3888"/>
            <w:tcMar>
              <w:top w:w="50" w:type="dxa"/>
              <w:bottom w:w="50" w:type="dxa"/>
              <w:left w:w="80" w:type="dxa"/>
              <w:right w:w="80" w:type="dxa"/>
            </w:tcMar>
            <w:vAlign w:val="center"/>
          </w:tcPr>
          <w:p>
            <w:pPr>
              <w:spacing w:before="20" w:after="20" w:line="252" w:lineRule="auto"/>
            </w:pPr>
            <w:r>
              <w:rPr>
                <w:rFonts w:ascii="Times New Roman" w:hAnsi="Times New Roman"/>
                <w:sz w:val="17"/>
              </w:rPr>
              <w:t>Live open gameplay telemetry across mobile and desktop</w:t>
            </w:r>
          </w:p>
        </w:tc>
      </w:tr>
      <w:tr>
        <w:tc>
          <w:tcPr>
            <w:tcW w:type="dxa" w:w="3456"/>
            <w:tcMar>
              <w:top w:w="50" w:type="dxa"/>
              <w:bottom w:w="50" w:type="dxa"/>
              <w:left w:w="80" w:type="dxa"/>
              <w:right w:w="80" w:type="dxa"/>
            </w:tcMar>
            <w:vAlign w:val="center"/>
          </w:tcPr>
          <w:p>
            <w:pPr>
              <w:spacing w:before="20" w:after="20" w:line="252" w:lineRule="auto"/>
            </w:pPr>
            <w:r>
              <w:rPr>
                <w:rFonts w:ascii="Times New Roman" w:hAnsi="Times New Roman"/>
                <w:sz w:val="17"/>
              </w:rPr>
              <w:t>Composite SUS Score</w:t>
            </w:r>
          </w:p>
        </w:tc>
        <w:tc>
          <w:tcPr>
            <w:tcW w:type="dxa" w:w="3312"/>
            <w:tcMar>
              <w:top w:w="50" w:type="dxa"/>
              <w:bottom w:w="50" w:type="dxa"/>
              <w:left w:w="80" w:type="dxa"/>
              <w:right w:w="80" w:type="dxa"/>
            </w:tcMar>
            <w:vAlign w:val="center"/>
          </w:tcPr>
          <w:p>
            <w:pPr>
              <w:spacing w:before="20" w:after="20" w:line="252" w:lineRule="auto"/>
            </w:pPr>
            <w:r>
              <w:rPr>
                <w:rFonts w:ascii="Times New Roman" w:hAnsi="Times New Roman"/>
                <w:sz w:val="17"/>
              </w:rPr>
              <w:t>84.50 ± 7.20 (N=30, 95% CI: [81.8, 87.2])</w:t>
            </w:r>
          </w:p>
        </w:tc>
        <w:tc>
          <w:tcPr>
            <w:tcW w:type="dxa" w:w="3888"/>
            <w:tcMar>
              <w:top w:w="50" w:type="dxa"/>
              <w:bottom w:w="50" w:type="dxa"/>
              <w:left w:w="80" w:type="dxa"/>
              <w:right w:w="80" w:type="dxa"/>
            </w:tcMar>
            <w:vAlign w:val="center"/>
          </w:tcPr>
          <w:p>
            <w:pPr>
              <w:spacing w:before="20" w:after="20" w:line="252" w:lineRule="auto"/>
            </w:pPr>
            <w:r>
              <w:rPr>
                <w:rFonts w:ascii="Times New Roman" w:hAnsi="Times New Roman"/>
                <w:sz w:val="17"/>
              </w:rPr>
              <w:t>Above empirical benchmark of 68.0</w:t>
            </w:r>
          </w:p>
        </w:tc>
      </w:tr>
    </w:tbl>
    <w:p>
      <w:pPr>
        <w:keepNext/>
        <w:spacing w:before="240" w:after="80"/>
        <w:jc w:val="left"/>
      </w:pPr>
      <w:r>
        <w:rPr>
          <w:rFonts w:ascii="Times New Roman" w:hAnsi="Times New Roman"/>
          <w:b/>
          <w:sz w:val="20"/>
        </w:rPr>
        <w:t>DISCUSSIONS</w:t>
      </w:r>
    </w:p>
    <w:p>
      <w:pPr>
        <w:spacing w:before="0" w:after="80" w:line="276" w:lineRule="auto"/>
        <w:ind w:firstLine="360"/>
        <w:jc w:val="both"/>
      </w:pPr>
      <w:r>
        <w:rPr>
          <w:rFonts w:ascii="Times New Roman" w:hAnsi="Times New Roman"/>
          <w:sz w:val="20"/>
        </w:rPr>
        <w:t>The experimental data confirm the efficacy of the proposed algorithmic solutions across three key software engineering dimensions. First, the Category-Interleaved Deck Shuffling algorithm eliminates punitive clustering while maintaining healthy gameplay rhythm. By strictly enforcing an upper bound of two consecutive penalty outcomes (Equation 1), the algorithm ensures controlled stochastic pacing. It should be emphasized that this mechanism implements controlled randomness rather than unconstrained uniform permutation, deliberately trading raw sequence entropy for deterministic streak limits to prevent unfair penalty clustering, in alignment with the probabilistic findings of Derrick et al. (2022) and Guo et al. (2024).</w:t>
      </w:r>
    </w:p>
    <w:p>
      <w:pPr>
        <w:spacing w:before="0" w:after="80" w:line="276" w:lineRule="auto"/>
        <w:ind w:firstLine="360"/>
        <w:jc w:val="both"/>
      </w:pPr>
      <w:r>
        <w:rPr>
          <w:rFonts w:ascii="Times New Roman" w:hAnsi="Times New Roman"/>
          <w:sz w:val="20"/>
        </w:rPr>
        <w:t>Second, the Heuristic AI Decision Model demonstrates strong strategic competitiveness alongside negligible computational cost (mean latency 0.24 ms, Table 4). By dynamically scaling liquidity buffers when completing provincial monopolies (Equations 2 and 3), the agent attained a 35.0% victory rate (95% CI: [28.4%, 41.6%]), significantly outperforming Greedy play (p = 0.015) and Naive Random play (p &lt; 0.0001). Because the heuristic relies on direct algebraic evaluation rather than recursive game-tree search, calculation proceeds orders of magnitude faster than deep reinforcement learning alternatives (Parihar &amp; S. M., 2024), maintaining sub-millisecond client execution without server GPU overhead.</w:t>
      </w:r>
    </w:p>
    <w:p>
      <w:pPr>
        <w:spacing w:before="0" w:after="80" w:line="276" w:lineRule="auto"/>
        <w:ind w:firstLine="360"/>
        <w:jc w:val="both"/>
      </w:pPr>
      <w:r>
        <w:rPr>
          <w:rFonts w:ascii="Times New Roman" w:hAnsi="Times New Roman"/>
          <w:sz w:val="20"/>
        </w:rPr>
        <w:t>Third, the room-isolated JSON architecture with atomic advisory locking provides dependable state isolation and high transaction throughput for turn-based web applications. Generating 450.4 requests/second under ApacheBench stress testing delivers a 48.3x throughput margin above peak client polling demand (where 14 active rooms polling at 1,500 ms intervals produce an aggregate demand of 9.33 requests/second). Potential threats to validity were methodically addressed: construct validity was supported using standardized SUS instruments (Bangor et al., 2008; Alfilaeni et al., 2024; Gini et al., 2025; Hasanah et al., 2025); internal validity was preserved through automated server logging across 31 multiplayer room sessions; and external validity is bounded by the evaluated campus and cellular network configurations (Ottens et al., 2025; Wisinggya et al., 2021; Sidiq et al., 2022).</w:t>
      </w:r>
    </w:p>
    <w:p>
      <w:pPr>
        <w:keepNext/>
        <w:spacing w:before="240" w:after="80"/>
        <w:jc w:val="left"/>
      </w:pPr>
      <w:r>
        <w:rPr>
          <w:rFonts w:ascii="Times New Roman" w:hAnsi="Times New Roman"/>
          <w:b/>
          <w:sz w:val="20"/>
        </w:rPr>
        <w:t>CONCLUSION</w:t>
      </w:r>
    </w:p>
    <w:p>
      <w:pPr>
        <w:spacing w:before="0" w:after="80" w:line="276" w:lineRule="auto"/>
        <w:ind w:firstLine="360"/>
        <w:jc w:val="both"/>
      </w:pPr>
      <w:r>
        <w:rPr>
          <w:rFonts w:ascii="Times New Roman" w:hAnsi="Times New Roman"/>
          <w:sz w:val="20"/>
        </w:rPr>
        <w:t>This study presented the algorithmic design and web architecture of Nusantara Monopoly, a lightweight turn-based multiplayer engine tailored to Indonesian regional geography. Framed within the Mechanics-Dynamics-Aesthetics methodology, the system unifies a 40-space board topology, a 50-card dual-deck event structure, an autonomous Heuristic AI agent with dynamic liquidity management, a room-isolated JSON state engine with atomic file locking, and zero-asset procedural Web Audio synthesis. Empirical evaluations demonstrated that the card shuffling algorithm strictly caps consecutive penalty draws at two cards; the heuristic AI attained a 35.0% win rate (significantly outperforming Greedy and Random baselines) with 0.24 ms decision latency; server throughput reached 450.4 requests/second (providing a 48.3x operational margin); and usability testing across thirty participants achieved an SUS score of 84.50. Future research will explore adaptive multi-agent reinforcement learning, peer-to-peer asset negotiation mechanisms, and WebSocket synchronization across distributed server nodes.</w:t>
      </w:r>
    </w:p>
    <w:p>
      <w:pPr>
        <w:keepNext/>
        <w:spacing w:before="240" w:after="80"/>
        <w:jc w:val="left"/>
      </w:pPr>
      <w:r>
        <w:rPr>
          <w:rFonts w:ascii="Times New Roman" w:hAnsi="Times New Roman"/>
          <w:b/>
          <w:sz w:val="20"/>
        </w:rPr>
        <w:t>ACKNOWLEDGMENT</w:t>
      </w:r>
    </w:p>
    <w:p>
      <w:pPr>
        <w:spacing w:before="0" w:after="80" w:line="276" w:lineRule="auto"/>
        <w:ind w:firstLine="360"/>
        <w:jc w:val="both"/>
      </w:pPr>
      <w:r>
        <w:rPr>
          <w:rFonts w:ascii="Times New Roman" w:hAnsi="Times New Roman"/>
          <w:sz w:val="20"/>
        </w:rPr>
        <w:t>The authors express their sincere appreciation to the Department of Information Technology, Faculty of Science and Technology, Universitas Islam Negeri Antasari Banjarmasin for granting access to computing facilities and laboratory infrastructure, as well as to all participants and respondents who contributed to the multiplayer testing and usability evaluation.</w:t>
      </w:r>
    </w:p>
    <w:p>
      <w:pPr>
        <w:keepNext/>
        <w:spacing w:before="240" w:after="80"/>
        <w:jc w:val="left"/>
      </w:pPr>
      <w:r>
        <w:rPr>
          <w:rFonts w:ascii="Times New Roman" w:hAnsi="Times New Roman"/>
          <w:b/>
          <w:sz w:val="20"/>
        </w:rPr>
        <w:t>REFERENCES (APA CITATION FORMATTING STYLE)</w:t>
      </w:r>
    </w:p>
    <w:p>
      <w:pPr>
        <w:spacing w:before="40" w:after="60" w:line="252" w:lineRule="auto"/>
        <w:ind w:left="432" w:hanging="432"/>
        <w:jc w:val="both"/>
      </w:pPr>
      <w:r>
        <w:rPr>
          <w:rFonts w:ascii="Times New Roman" w:hAnsi="Times New Roman"/>
          <w:sz w:val="18"/>
        </w:rPr>
        <w:t>Alfilaeni, V., Krisbiantoro, D., &amp; Setyaningsih, G. (2024). Evaluasi Usability Aplikasi Menggunakan Metode System Usability Scale (SUS). CSRID (Computer Science Research and Its Development Journal), 16(3), 273–285. https://doi.org/10.22303/csrid-.16.3.2024.273-285</w:t>
      </w:r>
    </w:p>
    <w:p>
      <w:pPr>
        <w:spacing w:before="40" w:after="60" w:line="252" w:lineRule="auto"/>
        <w:ind w:left="432" w:hanging="432"/>
        <w:jc w:val="both"/>
      </w:pPr>
      <w:r>
        <w:rPr>
          <w:rFonts w:ascii="Times New Roman" w:hAnsi="Times New Roman"/>
          <w:sz w:val="18"/>
        </w:rPr>
        <w:t>Badan Pusat Statistik. (2024). Statistik Indonesia 2024 (Statistical Yearbook of Indonesia). BPS-Statistics Indonesia.</w:t>
      </w:r>
    </w:p>
    <w:p>
      <w:pPr>
        <w:spacing w:before="40" w:after="60" w:line="252" w:lineRule="auto"/>
        <w:ind w:left="432" w:hanging="432"/>
        <w:jc w:val="both"/>
      </w:pPr>
      <w:r>
        <w:rPr>
          <w:rFonts w:ascii="Times New Roman" w:hAnsi="Times New Roman"/>
          <w:sz w:val="18"/>
        </w:rPr>
        <w:t>Bangor, A., Kortum, P. T., &amp; Miller, J. T. (2008). An Empirical Evaluation of the System Usability Scale. International Journal of Human-Computer Interaction, 24(6), 574–594. https://doi.org/10.1080/10447310802205776</w:t>
      </w:r>
    </w:p>
    <w:p>
      <w:pPr>
        <w:spacing w:before="40" w:after="60" w:line="252" w:lineRule="auto"/>
        <w:ind w:left="432" w:hanging="432"/>
        <w:jc w:val="both"/>
      </w:pPr>
      <w:r>
        <w:rPr>
          <w:rFonts w:ascii="Times New Roman" w:hAnsi="Times New Roman"/>
          <w:sz w:val="18"/>
        </w:rPr>
        <w:t>Bauer, A. (2024). Artificial Intelligence With Graph Neural Networks Applied to a Risk-Like Board Game. IEEE Transactions on Games, 16(2), 342–351. https://doi.org/10.1109/tg.2023.3270162</w:t>
      </w:r>
    </w:p>
    <w:p>
      <w:pPr>
        <w:spacing w:before="40" w:after="60" w:line="252" w:lineRule="auto"/>
        <w:ind w:left="432" w:hanging="432"/>
        <w:jc w:val="both"/>
      </w:pPr>
      <w:r>
        <w:rPr>
          <w:rFonts w:ascii="Times New Roman" w:hAnsi="Times New Roman"/>
          <w:sz w:val="18"/>
        </w:rPr>
        <w:t>Buffa, M., &amp; Lebrun, J. (2023). Rocking the Web With Browser-Based Simulations of Tube Guitar Amplifiers. Journal of the Audio Engineering Society, 71(11), 753–768. https://doi.org/10.17743/jaes.2022.0110</w:t>
      </w:r>
    </w:p>
    <w:p>
      <w:pPr>
        <w:spacing w:before="40" w:after="60" w:line="252" w:lineRule="auto"/>
        <w:ind w:left="432" w:hanging="432"/>
        <w:jc w:val="both"/>
      </w:pPr>
      <w:r>
        <w:rPr>
          <w:rFonts w:ascii="Times New Roman" w:hAnsi="Times New Roman"/>
          <w:sz w:val="18"/>
        </w:rPr>
        <w:t>Demirel, A. E., &amp; Alanyalı Aral, E. (2025). Board Game as a Participatory Design Technique for Urban Spaces: A Ludological Analysis. Simulation &amp; Gaming, 56(5), 426–450. https://doi.org/10.1177/10468781251338439</w:t>
      </w:r>
    </w:p>
    <w:p>
      <w:pPr>
        <w:spacing w:before="40" w:after="60" w:line="252" w:lineRule="auto"/>
        <w:ind w:left="432" w:hanging="432"/>
        <w:jc w:val="both"/>
      </w:pPr>
      <w:r>
        <w:rPr>
          <w:rFonts w:ascii="Times New Roman" w:hAnsi="Times New Roman"/>
          <w:sz w:val="18"/>
        </w:rPr>
        <w:t>Derrick, J., Champion, J., &amp; Uriarte, R. (2022). Frustration: Analyzing a Card Game with Probability and Randomness. Mathematics Teacher: Learning and Teaching PK-12, 115(4), 296–303. https://doi.org/10.5951/mtlt.2021.0346</w:t>
      </w:r>
    </w:p>
    <w:p>
      <w:pPr>
        <w:spacing w:before="40" w:after="60" w:line="252" w:lineRule="auto"/>
        <w:ind w:left="432" w:hanging="432"/>
        <w:jc w:val="both"/>
      </w:pPr>
      <w:r>
        <w:rPr>
          <w:rFonts w:ascii="Times New Roman" w:hAnsi="Times New Roman"/>
          <w:sz w:val="18"/>
        </w:rPr>
        <w:t>Diao, Z., Meng, P., Meng, X., &amp; Liu, Y. (2024). Modeling the User Experience in Virtual and Real World Transition by Understanding the User Goal Value. Entertainment Computing, 49, Article 100620. https://doi.org/10.1016/j.entcom.2023.100620</w:t>
      </w:r>
    </w:p>
    <w:p>
      <w:pPr>
        <w:spacing w:before="40" w:after="60" w:line="252" w:lineRule="auto"/>
        <w:ind w:left="432" w:hanging="432"/>
        <w:jc w:val="both"/>
      </w:pPr>
      <w:r>
        <w:rPr>
          <w:rFonts w:ascii="Times New Roman" w:hAnsi="Times New Roman"/>
          <w:sz w:val="18"/>
        </w:rPr>
        <w:t>Emmert-Streib, F., Tripathi, S., &amp; Dehmer, M. (2023). Human Team Behavior and Predictability in the Massively Multiplayer Online Game WOT Blitz. ACM Transactions on the Web, 18(1), 1–27. https://doi.org/10.1145/3617509</w:t>
      </w:r>
    </w:p>
    <w:p>
      <w:pPr>
        <w:spacing w:before="40" w:after="60" w:line="252" w:lineRule="auto"/>
        <w:ind w:left="432" w:hanging="432"/>
        <w:jc w:val="both"/>
      </w:pPr>
      <w:r>
        <w:rPr>
          <w:rFonts w:ascii="Times New Roman" w:hAnsi="Times New Roman"/>
          <w:sz w:val="18"/>
        </w:rPr>
        <w:t>Freese, M., &amp; Lukosch, H. (2023). The Funnel of Game Design – An Adaptive Game Design Approach for Complex Systems. Simulation &amp; Gaming, 55(2), 323–341. https://doi.org/10.1177/10468781231222524</w:t>
      </w:r>
    </w:p>
    <w:p>
      <w:pPr>
        <w:spacing w:before="40" w:after="60" w:line="252" w:lineRule="auto"/>
        <w:ind w:left="432" w:hanging="432"/>
        <w:jc w:val="both"/>
      </w:pPr>
      <w:r>
        <w:rPr>
          <w:rFonts w:ascii="Times New Roman" w:hAnsi="Times New Roman"/>
          <w:sz w:val="18"/>
        </w:rPr>
        <w:t>Gini, F., Roumelioti, E., Schiavo, G., &amp; Zancanaro, M. (2025). Engaging Youth in Education Through Gamification: A User Experience Evaluation of Different Game Modalities. Entertainment Computing, 52, Article 100919. https://doi.org/10.1016/j.entcom.2024.100919</w:t>
      </w:r>
    </w:p>
    <w:p>
      <w:pPr>
        <w:spacing w:before="40" w:after="60" w:line="252" w:lineRule="auto"/>
        <w:ind w:left="432" w:hanging="432"/>
        <w:jc w:val="both"/>
      </w:pPr>
      <w:r>
        <w:rPr>
          <w:rFonts w:ascii="Times New Roman" w:hAnsi="Times New Roman"/>
          <w:sz w:val="18"/>
        </w:rPr>
        <w:t>Gonzalo-de Diego, B., González-Aguña, A., Fernández-Batalla, M., Monsalvo-San Macario, E., Sierra-Ortega, A., Barchino-Plata, R., Jiménez-Rodríguez, M. L., &amp; Santamaría-García, J. M. (2025). Usability Evaluation of a Board Game for Learning Robotics of Care. Education Sciences, 15(4), Article 484. https://doi.org/10.3390/educsci15040484</w:t>
      </w:r>
    </w:p>
    <w:p>
      <w:pPr>
        <w:spacing w:before="40" w:after="60" w:line="252" w:lineRule="auto"/>
        <w:ind w:left="432" w:hanging="432"/>
        <w:jc w:val="both"/>
      </w:pPr>
      <w:r>
        <w:rPr>
          <w:rFonts w:ascii="Times New Roman" w:hAnsi="Times New Roman"/>
          <w:sz w:val="18"/>
        </w:rPr>
        <w:t>Guo, G., Howison, S. D., Possamaï, D., &amp; Zhou, C. (2024). Randomness and Early Termination: What Makes a Game Fair and Balanced. Probability Theory and Related Fields, 190, 1–45. https://doi.org/10.1007/s00440-024-01340-x</w:t>
      </w:r>
    </w:p>
    <w:p>
      <w:pPr>
        <w:spacing w:before="40" w:after="60" w:line="252" w:lineRule="auto"/>
        <w:ind w:left="432" w:hanging="432"/>
        <w:jc w:val="both"/>
      </w:pPr>
      <w:r>
        <w:rPr>
          <w:rFonts w:ascii="Times New Roman" w:hAnsi="Times New Roman"/>
          <w:sz w:val="18"/>
        </w:rPr>
        <w:t>Hall, M. A. (2022). Games of Character: The Role of Board, Dice &amp; Cards in Tabletop Games. Board Game Studies Journal, 16(1), 101–124. https://doi.org/10.2478/bgs-2022-0018</w:t>
      </w:r>
    </w:p>
    <w:p>
      <w:pPr>
        <w:spacing w:before="40" w:after="60" w:line="252" w:lineRule="auto"/>
        <w:ind w:left="432" w:hanging="432"/>
        <w:jc w:val="both"/>
      </w:pPr>
      <w:r>
        <w:rPr>
          <w:rFonts w:ascii="Times New Roman" w:hAnsi="Times New Roman"/>
          <w:sz w:val="18"/>
        </w:rPr>
        <w:t>Hasanah, F. U., Satrio, R. W., Hanafri, M. I., &amp; Maisaroh, S. (2025). Implementasi Design Thinking pada UI/UX Game Edukasi 2D Hafalan Haditst Menggunakan System Usability Scale (SUS) dan User Experience Questionnaire (UEQ). MALCOM: Indonesian Journal of Machine Learning and Computer Science, 5(2), 711–721. https://doi.org/10.57152/malcom.v5i2.1969</w:t>
      </w:r>
    </w:p>
    <w:p>
      <w:pPr>
        <w:spacing w:before="40" w:after="60" w:line="252" w:lineRule="auto"/>
        <w:ind w:left="432" w:hanging="432"/>
        <w:jc w:val="both"/>
      </w:pPr>
      <w:r>
        <w:rPr>
          <w:rFonts w:ascii="Times New Roman" w:hAnsi="Times New Roman"/>
          <w:sz w:val="18"/>
        </w:rPr>
        <w:t>Herrero, A. J., Rodríguez-Álvarez, N., Martínez-Sinovas, R., Aldavero, C., &amp; Rodríguez-Merino, F. (2026). From Monopoly to Ark Nova: An Empirical and Cultural History of Modern Board Game Design (1930-2025). Simulation &amp; Gaming, 1–25. https://doi.org/10.1177/10468781261468605</w:t>
      </w:r>
    </w:p>
    <w:p>
      <w:pPr>
        <w:spacing w:before="40" w:after="60" w:line="252" w:lineRule="auto"/>
        <w:ind w:left="432" w:hanging="432"/>
        <w:jc w:val="both"/>
      </w:pPr>
      <w:r>
        <w:rPr>
          <w:rFonts w:ascii="Times New Roman" w:hAnsi="Times New Roman"/>
          <w:sz w:val="18"/>
        </w:rPr>
        <w:t>Hunicke, R., LeBlanc, M., &amp; Zubek, R. (2004). MDA: A Formal Approach to Game Design and Game Research. In Proceedings of the AAAI Workshop on Challenges in Game AI (pp. 1–5). AAAI Press.</w:t>
      </w:r>
    </w:p>
    <w:p>
      <w:pPr>
        <w:spacing w:before="40" w:after="60" w:line="252" w:lineRule="auto"/>
        <w:ind w:left="432" w:hanging="432"/>
        <w:jc w:val="both"/>
      </w:pPr>
      <w:r>
        <w:rPr>
          <w:rFonts w:ascii="Times New Roman" w:hAnsi="Times New Roman"/>
          <w:sz w:val="18"/>
        </w:rPr>
        <w:t>Jung, J. D. A., &amp; Hoey, J. (2025). Extending Heuristic Knowledge Transfer for General Game Playing. IEEE Transactions on Games, 1–12. https://doi.org/10.1109/tg.2025.3578435</w:t>
      </w:r>
    </w:p>
    <w:p>
      <w:pPr>
        <w:spacing w:before="40" w:after="60" w:line="252" w:lineRule="auto"/>
        <w:ind w:left="432" w:hanging="432"/>
        <w:jc w:val="both"/>
      </w:pPr>
      <w:r>
        <w:rPr>
          <w:rFonts w:ascii="Times New Roman" w:hAnsi="Times New Roman"/>
          <w:sz w:val="18"/>
        </w:rPr>
        <w:t>Li, Y., Zhang, X., Qin, C., &amp; Wang, Y. (2026). FGeo-ISRL: A MCTS-Enhanced Deep Reinforcement Learning System for Game and Geometric Problem-Solving. Symmetry, 18(4), Article 628. https://doi.org/10.3390/sym18040628</w:t>
      </w:r>
    </w:p>
    <w:p>
      <w:pPr>
        <w:spacing w:before="40" w:after="60" w:line="252" w:lineRule="auto"/>
        <w:ind w:left="432" w:hanging="432"/>
        <w:jc w:val="both"/>
      </w:pPr>
      <w:r>
        <w:rPr>
          <w:rFonts w:ascii="Times New Roman" w:hAnsi="Times New Roman"/>
          <w:sz w:val="18"/>
        </w:rPr>
        <w:t>Liu, C., &amp; Wong, J. C. F. (2025). Modified Engel Algorithm and Applications in Absorbing/Non-Absorbing Markov Chains and Monopoly Game. Mathematical and Computational Applications, 30(4), Article 87. https://doi.org/10.3390/mca30040087</w:t>
      </w:r>
    </w:p>
    <w:p>
      <w:pPr>
        <w:spacing w:before="40" w:after="60" w:line="252" w:lineRule="auto"/>
        <w:ind w:left="432" w:hanging="432"/>
        <w:jc w:val="both"/>
      </w:pPr>
      <w:r>
        <w:rPr>
          <w:rFonts w:ascii="Times New Roman" w:hAnsi="Times New Roman"/>
          <w:sz w:val="18"/>
        </w:rPr>
        <w:t>Matuszewski, B., &amp; Rottier, O. (2023). The Web Audio API as a Standardized Interface Beyond Web Browsers. Journal of the Audio Engineering Society, 71(11), 790–801. https://doi.org/10.17743/jaes.2022.0114</w:t>
      </w:r>
    </w:p>
    <w:p>
      <w:pPr>
        <w:spacing w:before="40" w:after="60" w:line="252" w:lineRule="auto"/>
        <w:ind w:left="432" w:hanging="432"/>
        <w:jc w:val="both"/>
      </w:pPr>
      <w:r>
        <w:rPr>
          <w:rFonts w:ascii="Times New Roman" w:hAnsi="Times New Roman"/>
          <w:sz w:val="18"/>
        </w:rPr>
        <w:t>Mohamad, F., Dako, R. D. R., Nadifa, U., &amp; Nasibu, I. Z. (2026). Development of a Real-Time Multiplayer Web-Based Mathematical Puzzle Game for Geometric Reflection Learning Using WebSocket. Jambura Journal of Electrical and Electronics Engineering, 8(2), 226–233. https://doi.org/10.37905/jjeee.v8i2.40303</w:t>
      </w:r>
    </w:p>
    <w:p>
      <w:pPr>
        <w:spacing w:before="40" w:after="60" w:line="252" w:lineRule="auto"/>
        <w:ind w:left="432" w:hanging="432"/>
        <w:jc w:val="both"/>
      </w:pPr>
      <w:r>
        <w:rPr>
          <w:rFonts w:ascii="Times New Roman" w:hAnsi="Times New Roman"/>
          <w:sz w:val="18"/>
        </w:rPr>
        <w:t>Ottens, M., Deutschmann, J., Hielscher, K.-S., &amp; German, R. (2025). Performance Evaluation of ns-3 Real-Time Emulation. IEEE Access, 13, 59544–59559. https://doi.org/10.1109/access.2025.3555478</w:t>
      </w:r>
    </w:p>
    <w:p>
      <w:pPr>
        <w:spacing w:before="40" w:after="60" w:line="252" w:lineRule="auto"/>
        <w:ind w:left="432" w:hanging="432"/>
        <w:jc w:val="both"/>
      </w:pPr>
      <w:r>
        <w:rPr>
          <w:rFonts w:ascii="Times New Roman" w:hAnsi="Times New Roman"/>
          <w:sz w:val="18"/>
        </w:rPr>
        <w:t>Parihar, S., &amp; S. M. (2024). Decision Making in Monopoly Using a Hybrid Deep Reinforcement Learning Approach. International Journal for Research in Applied Science and Engineering Technology (IJRASET), 12(2), 58–67. https://doi.org/10.22214/ijraset.2024.58270</w:t>
      </w:r>
    </w:p>
    <w:p>
      <w:pPr>
        <w:spacing w:before="40" w:after="60" w:line="252" w:lineRule="auto"/>
        <w:ind w:left="432" w:hanging="432"/>
        <w:jc w:val="both"/>
      </w:pPr>
      <w:r>
        <w:rPr>
          <w:rFonts w:ascii="Times New Roman" w:hAnsi="Times New Roman"/>
          <w:sz w:val="18"/>
        </w:rPr>
        <w:t>Pratama, D. A., Arif, Y. M., &amp; Nugroho, F. (2024). Simulasi Kerumunan NPC Pada Game “Pengenalan UIN Malang” Menggunakan Metode Flocking. Jurnal Teknologi Informasi dan Ilmu Komputer (JTIIK), 11(4), 913–928. https://doi.org/10.25126/jtiik.1148377</w:t>
      </w:r>
    </w:p>
    <w:p>
      <w:pPr>
        <w:spacing w:before="40" w:after="60" w:line="252" w:lineRule="auto"/>
        <w:ind w:left="432" w:hanging="432"/>
        <w:jc w:val="both"/>
      </w:pPr>
      <w:r>
        <w:rPr>
          <w:rFonts w:ascii="Times New Roman" w:hAnsi="Times New Roman"/>
          <w:sz w:val="18"/>
        </w:rPr>
        <w:t>Ramadhan, T. A., Brata, K. C., &amp; Ananata, M. T. (2024). Pengembangan Gim Online Multiplayer Matematika 24 Berbasis Web. Jurnal Teknologi Informasi dan Ilmu Komputer (JTIIK), 11(2), 385–392. https://doi.org/10.25126/jtiik.20241127810</w:t>
      </w:r>
    </w:p>
    <w:p>
      <w:pPr>
        <w:spacing w:before="40" w:after="60" w:line="252" w:lineRule="auto"/>
        <w:ind w:left="432" w:hanging="432"/>
        <w:jc w:val="both"/>
      </w:pPr>
      <w:r>
        <w:rPr>
          <w:rFonts w:ascii="Times New Roman" w:hAnsi="Times New Roman"/>
          <w:sz w:val="18"/>
        </w:rPr>
        <w:t>Russell, S., &amp; Norvig, P. (2020). Artificial Intelligence: A Modern Approach (4th ed.). Pearson.</w:t>
      </w:r>
    </w:p>
    <w:p>
      <w:pPr>
        <w:spacing w:before="40" w:after="60" w:line="252" w:lineRule="auto"/>
        <w:ind w:left="432" w:hanging="432"/>
        <w:jc w:val="both"/>
      </w:pPr>
      <w:r>
        <w:rPr>
          <w:rFonts w:ascii="Times New Roman" w:hAnsi="Times New Roman"/>
          <w:sz w:val="18"/>
        </w:rPr>
        <w:t>Sidiq, A. M., Husen, J. H., &amp; Widowati, S. (2022). A Bot Approach-Based Capacity Testing Automation for Online Video Games. Jurnal ELTIKOM : Jurnal Teknik Elektro, Teknologi Informasi dan Komputer, 6(2), 118–125. https://doi.org/10.31961/eltikom.v6i2.550</w:t>
      </w:r>
    </w:p>
    <w:p>
      <w:pPr>
        <w:spacing w:before="40" w:after="60" w:line="252" w:lineRule="auto"/>
        <w:ind w:left="432" w:hanging="432"/>
        <w:jc w:val="both"/>
      </w:pPr>
      <w:r>
        <w:rPr>
          <w:rFonts w:ascii="Times New Roman" w:hAnsi="Times New Roman"/>
          <w:sz w:val="18"/>
        </w:rPr>
        <w:t>Steinmetz, E., &amp; Gini, M. (2021). More Trees or Larger Trees: Parallelizing Monte Carlo Tree Search. IEEE Transactions on Games, 13(3), 315–320. https://doi.org/10.1109/tg.2020.3048331</w:t>
      </w:r>
    </w:p>
    <w:p>
      <w:pPr>
        <w:spacing w:before="40" w:after="60" w:line="252" w:lineRule="auto"/>
        <w:ind w:left="432" w:hanging="432"/>
        <w:jc w:val="both"/>
      </w:pPr>
      <w:r>
        <w:rPr>
          <w:rFonts w:ascii="Times New Roman" w:hAnsi="Times New Roman"/>
          <w:sz w:val="18"/>
        </w:rPr>
        <w:t>Subiyanto, S. M. (2026). Perancangan UI/UX Board Game sebagai Media Interaksi Keluarga Anak Usia 8–12 Tahun. Jurnal Vicidi, 16(1), 20–36. https://doi.org/10.37715/vicidi.v16i1.6170</w:t>
      </w:r>
    </w:p>
    <w:p>
      <w:pPr>
        <w:spacing w:before="40" w:after="60" w:line="252" w:lineRule="auto"/>
        <w:ind w:left="432" w:hanging="432"/>
        <w:jc w:val="both"/>
      </w:pPr>
      <w:r>
        <w:rPr>
          <w:rFonts w:ascii="Times New Roman" w:hAnsi="Times New Roman"/>
          <w:sz w:val="18"/>
        </w:rPr>
        <w:t>Wang, X., Peng, Y., Huang, H., Shen, C., Jiang, C., &amp; Guo, M. (2024). Dodo: A Scalable Optimistic Deterministic Concurrency Control Protocol. Future Generation Computer Systems, 159, 385–397. https://doi.org/10.1016/j.future.2024.05.004</w:t>
      </w:r>
    </w:p>
    <w:p>
      <w:pPr>
        <w:spacing w:before="40" w:after="60" w:line="252" w:lineRule="auto"/>
        <w:ind w:left="432" w:hanging="432"/>
        <w:jc w:val="both"/>
      </w:pPr>
      <w:r>
        <w:rPr>
          <w:rFonts w:ascii="Times New Roman" w:hAnsi="Times New Roman"/>
          <w:sz w:val="18"/>
        </w:rPr>
        <w:t>Wisinggya, K. R., Haryanto, H., Sutojo, T., Mulyanto, E., &amp; Dolphina, E. (2021). Tingkat Kesulitan Dinamis Menggunakan Logika Fuzzy Pada Game Musik Tradisional Jawa Tengah. Jurnal ELTIKOM : Jurnal Teknik Elektro, Teknologi Informasi dan Komputer, 5(2), 56–64. https://doi.org/10.31961/eltikom.v5i2.281</w:t>
      </w:r>
    </w:p>
    <w:p>
      <w:pPr>
        <w:spacing w:before="40" w:after="60" w:line="252" w:lineRule="auto"/>
        <w:ind w:left="432" w:hanging="432"/>
        <w:jc w:val="both"/>
      </w:pPr>
      <w:r>
        <w:rPr>
          <w:rFonts w:ascii="Times New Roman" w:hAnsi="Times New Roman"/>
          <w:sz w:val="18"/>
        </w:rPr>
        <w:t>Ye, C., Hwang, W.-C., Chen, K., Zhang, T., &amp; Lin, X. (2023). Polaris: Enabling Transaction Priority in Optimistic Concurrency Control. Proceedings of the ACM on Management of Data, 1(1), 1–26. https://doi.org/10.1145/3588724</w:t>
      </w:r>
    </w:p>
    <w:p>
      <w:pPr>
        <w:spacing w:before="40" w:after="60" w:line="252" w:lineRule="auto"/>
        <w:ind w:left="432" w:hanging="432"/>
        <w:jc w:val="both"/>
      </w:pPr>
      <w:r>
        <w:rPr>
          <w:rFonts w:ascii="Times New Roman" w:hAnsi="Times New Roman"/>
          <w:sz w:val="18"/>
        </w:rPr>
        <w:t>Zang, Y., Benetatos, C., &amp; Duan, Z. (2023). Euterpe: A Web Framework for Interactive Music Systems. Journal of the Audio Engineering Society, 71(11), 738–752. https://doi.org/10.17743/jaes.2022.0117</w:t>
      </w:r>
    </w:p>
    <w:sectPr>
      <w:headerReference r:id="rId14" w:type="default"/>
      <w:footerReference r:id="rId15" w:type="default"/>
      <w:pgSz w:h="16838" w:w="11906" w:orient="portrait"/>
      <w:pgMar w:bottom="1560" w:top="1701" w:left="1418" w:right="1418" w:header="567" w:footer="28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Gungsuh"/>
  <w:font w:name="Junicode"/>
  <w:font w:name="Cambria Math">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45">
    <w:pPr>
      <w:tabs>
        <w:tab w:val="left" w:leader="none" w:pos="2810"/>
      </w:tabs>
      <w:jc w:val="left"/>
      <w:rPr/>
    </w:pPr>
    <w:r w:rsidDel="00000000" w:rsidR="00000000" w:rsidRPr="00000000">
      <w:rPr>
        <w:rtl w:val="0"/>
      </w:rPr>
      <w:t xml:space="preserve">*name of corresponding author</w:t>
    </w:r>
  </w:p>
  <w:tbl>
    <w:tblPr>
      <w:tblStyle w:val="Table6"/>
      <w:tblW w:w="9214.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526"/>
      <w:gridCol w:w="5812"/>
      <w:gridCol w:w="1876"/>
      <w:tblGridChange w:id="0">
        <w:tblGrid>
          <w:gridCol w:w="1526"/>
          <w:gridCol w:w="5812"/>
          <w:gridCol w:w="1876"/>
        </w:tblGrid>
      </w:tblGridChange>
    </w:tblGrid>
    <w:tr>
      <w:trPr>
        <w:cantSplit w:val="0"/>
        <w:tblHeader w:val="0"/>
      </w:trPr>
      <w:tc>
        <w:tcPr>
          <w:vAlign w:val="bottom"/>
        </w:tcPr>
        <w:p w:rsidR="00000000" w:rsidDel="00000000" w:rsidP="00000000" w:rsidRDefault="00000000" w:rsidRPr="00000000" w14:paraId="00000246">
          <w:pPr>
            <w:jc w:val="left"/>
            <w:rPr>
              <w:sz w:val="24"/>
              <w:szCs w:val="24"/>
            </w:rPr>
          </w:pPr>
          <w:r w:rsidDel="00000000" w:rsidR="00000000" w:rsidRPr="00000000">
            <w:rPr>
              <w:rFonts w:ascii="Junicode" w:cs="Junicode" w:eastAsia="Junicode" w:hAnsi="Junicode"/>
              <w:color w:val="000000"/>
              <w:sz w:val="18"/>
              <w:szCs w:val="18"/>
            </w:rPr>
            <w:drawing>
              <wp:inline distB="0" distT="0" distL="0" distR="0">
                <wp:extent cx="793319" cy="280872"/>
                <wp:effectExtent b="0" l="0" r="0" t="0"/>
                <wp:docPr id="7"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793319" cy="280872"/>
                        </a:xfrm>
                        <a:prstGeom prst="rect"/>
                        <a:ln/>
                      </pic:spPr>
                    </pic:pic>
                  </a:graphicData>
                </a:graphic>
              </wp:inline>
            </w:drawing>
          </w:r>
          <w:r w:rsidDel="00000000" w:rsidR="00000000" w:rsidRPr="00000000">
            <w:rPr>
              <w:rtl w:val="0"/>
            </w:rPr>
          </w:r>
        </w:p>
      </w:tc>
      <w:tc>
        <w:tcPr>
          <w:vAlign w:val="bottom"/>
        </w:tcPr>
        <w:p w:rsidR="00000000" w:rsidDel="00000000" w:rsidP="00000000" w:rsidRDefault="00000000" w:rsidRPr="00000000" w14:paraId="00000247">
          <w:pPr>
            <w:jc w:val="left"/>
            <w:rPr>
              <w:sz w:val="24"/>
              <w:szCs w:val="24"/>
            </w:rPr>
          </w:pPr>
          <w:r w:rsidDel="00000000" w:rsidR="00000000" w:rsidRPr="00000000">
            <w:rPr>
              <w:rFonts w:ascii="Junicode" w:cs="Junicode" w:eastAsia="Junicode" w:hAnsi="Junicode"/>
              <w:color w:val="000000"/>
              <w:sz w:val="18"/>
              <w:szCs w:val="18"/>
              <w:rtl w:val="0"/>
            </w:rPr>
            <w:t xml:space="preserve">This is anCreative Commons License This work is licensed under a Creative Commons Attribution-NonCommercial 4.0 International License.</w:t>
          </w:r>
          <w:r w:rsidDel="00000000" w:rsidR="00000000" w:rsidRPr="00000000">
            <w:rPr>
              <w:rtl w:val="0"/>
            </w:rPr>
          </w:r>
        </w:p>
      </w:tc>
      <w:tc>
        <w:tcPr>
          <w:vAlign w:val="bottom"/>
        </w:tcPr>
        <w:p w:rsidR="00000000" w:rsidDel="00000000" w:rsidP="00000000" w:rsidRDefault="00000000" w:rsidRPr="00000000" w14:paraId="00000248">
          <w:pPr>
            <w:pBdr>
              <w:top w:space="0" w:sz="0" w:val="nil"/>
              <w:left w:space="0" w:sz="0" w:val="nil"/>
              <w:bottom w:space="0" w:sz="0" w:val="nil"/>
              <w:right w:space="0" w:sz="0" w:val="nil"/>
              <w:between w:space="0" w:sz="0" w:val="nil"/>
            </w:pBdr>
            <w:tabs>
              <w:tab w:val="center" w:leader="none" w:pos="4680"/>
              <w:tab w:val="right" w:leader="none" w:pos="9360"/>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249">
    <w:pPr>
      <w:pBdr>
        <w:top w:space="0" w:sz="0" w:val="nil"/>
        <w:left w:space="0" w:sz="0" w:val="nil"/>
        <w:bottom w:space="0" w:sz="0" w:val="nil"/>
        <w:right w:space="0" w:sz="0" w:val="nil"/>
        <w:between w:space="0" w:sz="0" w:val="nil"/>
      </w:pBdr>
      <w:tabs>
        <w:tab w:val="center" w:leader="none" w:pos="4680"/>
        <w:tab w:val="right" w:leader="none" w:pos="9360"/>
      </w:tabs>
      <w:jc w:val="both"/>
      <w:rPr>
        <w:color w:val="000000"/>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3C">
    <w:pPr>
      <w:widowControl w:val="0"/>
      <w:pBdr>
        <w:top w:space="0" w:sz="0" w:val="nil"/>
        <w:left w:space="0" w:sz="0" w:val="nil"/>
        <w:bottom w:space="0" w:sz="0" w:val="nil"/>
        <w:right w:space="0" w:sz="0" w:val="nil"/>
        <w:between w:space="0" w:sz="0" w:val="nil"/>
      </w:pBdr>
      <w:spacing w:line="276" w:lineRule="auto"/>
      <w:jc w:val="left"/>
      <w:rPr>
        <w:color w:val="000000"/>
      </w:rPr>
    </w:pPr>
    <w:r w:rsidDel="00000000" w:rsidR="00000000" w:rsidRPr="00000000">
      <w:rPr>
        <w:rtl w:val="0"/>
      </w:rPr>
    </w:r>
  </w:p>
  <w:tbl>
    <w:tblPr>
      <w:tblStyle w:val="Table5"/>
      <w:tblW w:w="9207.0" w:type="dxa"/>
      <w:jc w:val="center"/>
      <w:tblLayout w:type="fixed"/>
      <w:tblLook w:val="0000"/>
    </w:tblPr>
    <w:tblGrid>
      <w:gridCol w:w="2130"/>
      <w:gridCol w:w="4950"/>
      <w:gridCol w:w="2127"/>
      <w:tblGridChange w:id="0">
        <w:tblGrid>
          <w:gridCol w:w="2130"/>
          <w:gridCol w:w="4950"/>
          <w:gridCol w:w="2127"/>
        </w:tblGrid>
      </w:tblGridChange>
    </w:tblGrid>
    <w:tr>
      <w:trPr>
        <w:cantSplit w:val="0"/>
        <w:trHeight w:val="328" w:hRule="atLeast"/>
        <w:tblHeader w:val="0"/>
      </w:trPr>
      <w:tc>
        <w:tcPr/>
        <w:p w:rsidR="00000000" w:rsidDel="00000000" w:rsidP="00000000" w:rsidRDefault="00000000" w:rsidRPr="00000000" w14:paraId="0000023D">
          <w:pPr>
            <w:pBdr>
              <w:top w:space="0" w:sz="0" w:val="nil"/>
              <w:left w:space="0" w:sz="0" w:val="nil"/>
              <w:bottom w:space="0" w:sz="0" w:val="nil"/>
              <w:right w:space="0" w:sz="0" w:val="nil"/>
              <w:between w:space="0" w:sz="0" w:val="nil"/>
            </w:pBdr>
            <w:jc w:val="left"/>
            <w:rPr>
              <w:color w:val="000000"/>
            </w:rPr>
          </w:pPr>
          <w:r w:rsidDel="00000000" w:rsidR="00000000" w:rsidRPr="00000000">
            <w:rPr>
              <w:color w:val="000000"/>
            </w:rPr>
            <w:drawing>
              <wp:inline distB="0" distT="0" distL="0" distR="0">
                <wp:extent cx="1238250" cy="419100"/>
                <wp:effectExtent b="0" l="0" r="0" t="0"/>
                <wp:docPr id="8" name="image1.png"/>
                <a:graphic>
                  <a:graphicData uri="http://schemas.openxmlformats.org/drawingml/2006/picture">
                    <pic:pic>
                      <pic:nvPicPr>
                        <pic:cNvPr id="0" name="image1.png"/>
                        <pic:cNvPicPr preferRelativeResize="0"/>
                      </pic:nvPicPr>
                      <pic:blipFill>
                        <a:blip r:embed="rId1"/>
                        <a:srcRect b="-48" l="-17" r="-15" t="-50"/>
                        <a:stretch>
                          <a:fillRect/>
                        </a:stretch>
                      </pic:blipFill>
                      <pic:spPr>
                        <a:xfrm>
                          <a:off x="0" y="0"/>
                          <a:ext cx="1238250" cy="419100"/>
                        </a:xfrm>
                        <a:prstGeom prst="rect"/>
                        <a:ln/>
                      </pic:spPr>
                    </pic:pic>
                  </a:graphicData>
                </a:graphic>
              </wp:inline>
            </w:drawing>
          </w:r>
          <w:r w:rsidDel="00000000" w:rsidR="00000000" w:rsidRPr="00000000">
            <w:rPr>
              <w:rtl w:val="0"/>
            </w:rPr>
          </w:r>
        </w:p>
      </w:tc>
      <w:tc>
        <w:tcPr>
          <w:vAlign w:val="bottom"/>
        </w:tcPr>
        <w:p w:rsidR="00000000" w:rsidDel="00000000" w:rsidP="00000000" w:rsidRDefault="00000000" w:rsidRPr="00000000" w14:paraId="0000023E">
          <w:pPr>
            <w:pBdr>
              <w:top w:space="0" w:sz="0" w:val="nil"/>
              <w:left w:space="0" w:sz="0" w:val="nil"/>
              <w:bottom w:space="0" w:sz="0" w:val="nil"/>
              <w:right w:space="0" w:sz="0" w:val="nil"/>
              <w:between w:space="0" w:sz="0" w:val="nil"/>
            </w:pBdr>
            <w:jc w:val="left"/>
            <w:rPr>
              <w:color w:val="000000"/>
              <w:sz w:val="24"/>
              <w:szCs w:val="24"/>
            </w:rPr>
          </w:pPr>
          <w:r w:rsidDel="00000000" w:rsidR="00000000" w:rsidRPr="00000000">
            <w:rPr>
              <w:color w:val="000000"/>
              <w:rtl w:val="0"/>
            </w:rPr>
            <w:t xml:space="preserve">Sinkron : Jurnal dan Penelitian Teknik Informatika</w:t>
          </w:r>
          <w:r w:rsidDel="00000000" w:rsidR="00000000" w:rsidRPr="00000000">
            <w:rPr>
              <w:rtl w:val="0"/>
            </w:rPr>
          </w:r>
        </w:p>
        <w:p w:rsidR="00000000" w:rsidDel="00000000" w:rsidP="00000000" w:rsidRDefault="00000000" w:rsidRPr="00000000" w14:paraId="0000023F">
          <w:pPr>
            <w:pBdr>
              <w:top w:space="0" w:sz="0" w:val="nil"/>
              <w:left w:space="0" w:sz="0" w:val="nil"/>
              <w:bottom w:space="0" w:sz="0" w:val="nil"/>
              <w:right w:space="0" w:sz="0" w:val="nil"/>
              <w:between w:space="0" w:sz="0" w:val="nil"/>
            </w:pBdr>
            <w:jc w:val="left"/>
            <w:rPr>
              <w:color w:val="000000"/>
            </w:rPr>
          </w:pPr>
          <w:r w:rsidDel="00000000" w:rsidR="00000000" w:rsidRPr="00000000">
            <w:rPr>
              <w:color w:val="000000"/>
              <w:rtl w:val="0"/>
            </w:rPr>
            <w:t xml:space="preserve">Volume xx, Number xx, month Year</w:t>
          </w:r>
        </w:p>
        <w:p w:rsidR="00000000" w:rsidDel="00000000" w:rsidP="00000000" w:rsidRDefault="00000000" w:rsidRPr="00000000" w14:paraId="00000240">
          <w:pPr>
            <w:pBdr>
              <w:top w:space="0" w:sz="0" w:val="nil"/>
              <w:left w:space="0" w:sz="0" w:val="nil"/>
              <w:bottom w:space="0" w:sz="0" w:val="nil"/>
              <w:right w:space="0" w:sz="0" w:val="nil"/>
              <w:between w:space="0" w:sz="0" w:val="nil"/>
            </w:pBdr>
            <w:jc w:val="left"/>
            <w:rPr>
              <w:color w:val="000000"/>
            </w:rPr>
          </w:pPr>
          <w:r w:rsidDel="00000000" w:rsidR="00000000" w:rsidRPr="00000000">
            <w:rPr>
              <w:color w:val="000000"/>
              <w:rtl w:val="0"/>
            </w:rPr>
            <w:t xml:space="preserve">DOI : </w:t>
          </w:r>
          <w:hyperlink r:id="rId2">
            <w:r w:rsidDel="00000000" w:rsidR="00000000" w:rsidRPr="00000000">
              <w:rPr>
                <w:color w:val="0000ff"/>
                <w:u w:val="single"/>
                <w:rtl w:val="0"/>
              </w:rPr>
              <w:t xml:space="preserve">https://doi.org/10.33395/sinkron.xxx.xxx</w:t>
            </w:r>
          </w:hyperlink>
          <w:r w:rsidDel="00000000" w:rsidR="00000000" w:rsidRPr="00000000">
            <w:rPr>
              <w:rtl w:val="0"/>
            </w:rPr>
          </w:r>
        </w:p>
      </w:tc>
      <w:tc>
        <w:tcPr>
          <w:vAlign w:val="bottom"/>
        </w:tcPr>
        <w:p w:rsidR="00000000" w:rsidDel="00000000" w:rsidP="00000000" w:rsidRDefault="00000000" w:rsidRPr="00000000" w14:paraId="00000241">
          <w:pPr>
            <w:pBdr>
              <w:top w:space="0" w:sz="0" w:val="nil"/>
              <w:left w:space="0" w:sz="0" w:val="nil"/>
              <w:bottom w:space="0" w:sz="0" w:val="nil"/>
              <w:right w:space="0" w:sz="0" w:val="nil"/>
              <w:between w:space="0" w:sz="0" w:val="nil"/>
            </w:pBdr>
            <w:ind w:left="-256" w:firstLine="256"/>
            <w:jc w:val="right"/>
            <w:rPr>
              <w:color w:val="000000"/>
              <w:sz w:val="24"/>
              <w:szCs w:val="24"/>
            </w:rPr>
          </w:pPr>
          <w:r w:rsidDel="00000000" w:rsidR="00000000" w:rsidRPr="00000000">
            <w:rPr>
              <w:color w:val="000000"/>
              <w:rtl w:val="0"/>
            </w:rPr>
            <w:t xml:space="preserve">e-ISSN : 2541-2019</w:t>
          </w:r>
          <w:r w:rsidDel="00000000" w:rsidR="00000000" w:rsidRPr="00000000">
            <w:rPr>
              <w:rtl w:val="0"/>
            </w:rPr>
          </w:r>
        </w:p>
        <w:p w:rsidR="00000000" w:rsidDel="00000000" w:rsidP="00000000" w:rsidRDefault="00000000" w:rsidRPr="00000000" w14:paraId="00000242">
          <w:pPr>
            <w:pBdr>
              <w:top w:space="0" w:sz="0" w:val="nil"/>
              <w:left w:space="0" w:sz="0" w:val="nil"/>
              <w:bottom w:space="0" w:sz="0" w:val="nil"/>
              <w:right w:space="0" w:sz="0" w:val="nil"/>
              <w:between w:space="0" w:sz="0" w:val="nil"/>
            </w:pBdr>
            <w:jc w:val="right"/>
            <w:rPr>
              <w:color w:val="000000"/>
              <w:sz w:val="24"/>
              <w:szCs w:val="24"/>
            </w:rPr>
          </w:pPr>
          <w:r w:rsidDel="00000000" w:rsidR="00000000" w:rsidRPr="00000000">
            <w:rPr>
              <w:color w:val="000000"/>
              <w:rtl w:val="0"/>
            </w:rPr>
            <w:t xml:space="preserve"> p-ISSN : 2541-044X</w:t>
          </w:r>
          <w:r w:rsidDel="00000000" w:rsidR="00000000" w:rsidRPr="00000000">
            <w:rPr>
              <w:rtl w:val="0"/>
            </w:rPr>
          </w:r>
        </w:p>
      </w:tc>
    </w:tr>
  </w:tbl>
  <w:p w:rsidR="00000000" w:rsidDel="00000000" w:rsidP="00000000" w:rsidRDefault="00000000" w:rsidRPr="00000000" w14:paraId="00000243">
    <w:pPr>
      <w:pBdr>
        <w:top w:space="0" w:sz="0" w:val="nil"/>
        <w:left w:space="0" w:sz="0" w:val="nil"/>
        <w:bottom w:color="000000" w:space="1" w:sz="6" w:val="single"/>
        <w:right w:space="0" w:sz="0" w:val="nil"/>
        <w:between w:space="0" w:sz="0" w:val="nil"/>
      </w:pBdr>
      <w:tabs>
        <w:tab w:val="center" w:leader="none" w:pos="4680"/>
        <w:tab w:val="right" w:leader="none" w:pos="9360"/>
      </w:tabs>
      <w:rPr>
        <w:color w:val="000000"/>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lang w:val="en-US"/>
      </w:rPr>
    </w:rPrDefault>
    <w:pPrDefault>
      <w:pPr>
        <w:jc w:val="center"/>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tabs>
        <w:tab w:val="left" w:leader="none" w:pos="216"/>
      </w:tabs>
      <w:spacing w:after="80" w:before="160" w:lineRule="auto"/>
      <w:ind w:firstLine="216"/>
    </w:pPr>
    <w:rPr>
      <w:smallCaps w:val="1"/>
    </w:rPr>
  </w:style>
  <w:style w:type="paragraph" w:styleId="Heading2">
    <w:name w:val="heading 2"/>
    <w:basedOn w:val="Normal"/>
    <w:next w:val="Normal"/>
    <w:pPr>
      <w:keepNext w:val="1"/>
      <w:keepLines w:val="1"/>
      <w:tabs>
        <w:tab w:val="left" w:leader="none" w:pos="288"/>
      </w:tabs>
      <w:spacing w:after="60" w:before="120" w:lineRule="auto"/>
      <w:ind w:left="288" w:hanging="288"/>
      <w:jc w:val="left"/>
    </w:pPr>
    <w:rPr>
      <w:i w:val="1"/>
    </w:rPr>
  </w:style>
  <w:style w:type="paragraph" w:styleId="Heading3">
    <w:name w:val="heading 3"/>
    <w:basedOn w:val="Normal"/>
    <w:next w:val="Normal"/>
    <w:pPr>
      <w:tabs>
        <w:tab w:val="left" w:leader="none" w:pos="540"/>
      </w:tabs>
      <w:ind w:firstLine="288"/>
      <w:jc w:val="both"/>
    </w:pPr>
    <w:rPr>
      <w:i w:val="1"/>
    </w:rPr>
  </w:style>
  <w:style w:type="paragraph" w:styleId="Heading4">
    <w:name w:val="heading 4"/>
    <w:basedOn w:val="Normal"/>
    <w:next w:val="Normal"/>
    <w:pPr>
      <w:tabs>
        <w:tab w:val="left" w:leader="none" w:pos="720"/>
        <w:tab w:val="left" w:leader="none" w:pos="821"/>
      </w:tabs>
      <w:spacing w:after="40" w:before="40" w:lineRule="auto"/>
      <w:ind w:firstLine="504"/>
      <w:jc w:val="both"/>
    </w:pPr>
    <w:rPr>
      <w:i w:val="1"/>
    </w:rPr>
  </w:style>
  <w:style w:type="paragraph" w:styleId="Heading5">
    <w:name w:val="heading 5"/>
    <w:basedOn w:val="Normal"/>
    <w:next w:val="Normal"/>
    <w:pPr>
      <w:tabs>
        <w:tab w:val="left" w:leader="none" w:pos="360"/>
      </w:tabs>
      <w:spacing w:after="80" w:before="160" w:lineRule="auto"/>
    </w:pPr>
    <w:rPr>
      <w:rFonts w:ascii="Calibri" w:cs="Calibri" w:eastAsia="Calibri" w:hAnsi="Calibri"/>
      <w:b w:val="1"/>
      <w:i w:val="1"/>
      <w:sz w:val="26"/>
      <w:szCs w:val="26"/>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keepNext w:val="1"/>
      <w:keepLines w:val="1"/>
      <w:tabs>
        <w:tab w:val="left" w:pos="216"/>
      </w:tabs>
      <w:spacing w:after="80" w:before="160"/>
      <w:ind w:firstLine="216"/>
      <w:outlineLvl w:val="0"/>
    </w:pPr>
    <w:rPr>
      <w:smallCaps w:val="1"/>
    </w:rPr>
  </w:style>
  <w:style w:type="paragraph" w:styleId="Heading2">
    <w:name w:val="heading 2"/>
    <w:basedOn w:val="Normal"/>
    <w:next w:val="Normal"/>
    <w:uiPriority w:val="9"/>
    <w:semiHidden w:val="1"/>
    <w:unhideWhenUsed w:val="1"/>
    <w:qFormat w:val="1"/>
    <w:pPr>
      <w:keepNext w:val="1"/>
      <w:keepLines w:val="1"/>
      <w:tabs>
        <w:tab w:val="left" w:pos="288"/>
      </w:tabs>
      <w:spacing w:after="60" w:before="120"/>
      <w:ind w:left="288" w:hanging="288"/>
      <w:jc w:val="left"/>
      <w:outlineLvl w:val="1"/>
    </w:pPr>
    <w:rPr>
      <w:i w:val="1"/>
    </w:rPr>
  </w:style>
  <w:style w:type="paragraph" w:styleId="Heading3">
    <w:name w:val="heading 3"/>
    <w:basedOn w:val="Normal"/>
    <w:next w:val="Normal"/>
    <w:uiPriority w:val="9"/>
    <w:semiHidden w:val="1"/>
    <w:unhideWhenUsed w:val="1"/>
    <w:qFormat w:val="1"/>
    <w:pPr>
      <w:tabs>
        <w:tab w:val="left" w:pos="540"/>
      </w:tabs>
      <w:ind w:firstLine="288"/>
      <w:jc w:val="both"/>
      <w:outlineLvl w:val="2"/>
    </w:pPr>
    <w:rPr>
      <w:i w:val="1"/>
    </w:rPr>
  </w:style>
  <w:style w:type="paragraph" w:styleId="Heading4">
    <w:name w:val="heading 4"/>
    <w:basedOn w:val="Normal"/>
    <w:next w:val="Normal"/>
    <w:uiPriority w:val="9"/>
    <w:semiHidden w:val="1"/>
    <w:unhideWhenUsed w:val="1"/>
    <w:qFormat w:val="1"/>
    <w:pPr>
      <w:tabs>
        <w:tab w:val="left" w:pos="720"/>
        <w:tab w:val="left" w:pos="821"/>
      </w:tabs>
      <w:spacing w:after="40" w:before="40"/>
      <w:ind w:firstLine="504"/>
      <w:jc w:val="both"/>
      <w:outlineLvl w:val="3"/>
    </w:pPr>
    <w:rPr>
      <w:i w:val="1"/>
    </w:rPr>
  </w:style>
  <w:style w:type="paragraph" w:styleId="Heading5">
    <w:name w:val="heading 5"/>
    <w:basedOn w:val="Normal"/>
    <w:next w:val="Normal"/>
    <w:uiPriority w:val="9"/>
    <w:semiHidden w:val="1"/>
    <w:unhideWhenUsed w:val="1"/>
    <w:qFormat w:val="1"/>
    <w:pPr>
      <w:tabs>
        <w:tab w:val="left" w:pos="360"/>
      </w:tabs>
      <w:spacing w:after="80" w:before="160"/>
      <w:outlineLvl w:val="4"/>
    </w:pPr>
    <w:rPr>
      <w:rFonts w:ascii="Calibri" w:cs="Calibri" w:eastAsia="Calibri" w:hAnsi="Calibri"/>
      <w:b w:val="1"/>
      <w:i w:val="1"/>
      <w:sz w:val="26"/>
      <w:szCs w:val="26"/>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pPr>
      <w:keepNext w:val="1"/>
      <w:keepLines w:val="1"/>
      <w:spacing w:after="120" w:before="480"/>
    </w:pPr>
    <w:rPr>
      <w:b w:val="1"/>
      <w:sz w:val="72"/>
      <w:szCs w:val="72"/>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tblPr>
      <w:tblStyleRowBandSize w:val="1"/>
      <w:tblStyleColBandSize w:val="1"/>
    </w:tblPr>
  </w:style>
  <w:style w:type="paragraph" w:styleId="NormalWeb">
    <w:name w:val="Normal (Web)"/>
    <w:basedOn w:val="Normal"/>
    <w:uiPriority w:val="99"/>
    <w:semiHidden w:val="1"/>
    <w:unhideWhenUsed w:val="1"/>
    <w:rsid w:val="00305F16"/>
    <w:pPr>
      <w:spacing w:after="100" w:afterAutospacing="1" w:before="100" w:beforeAutospacing="1"/>
      <w:jc w:val="left"/>
    </w:pPr>
    <w:rPr>
      <w:sz w:val="24"/>
      <w:szCs w:val="24"/>
    </w:rPr>
  </w:style>
  <w:style w:type="paragraph" w:styleId="BodyText">
    <w:name w:val="Body Text"/>
    <w:basedOn w:val="Normal"/>
    <w:link w:val="BodyTextChar"/>
    <w:uiPriority w:val="1"/>
    <w:qFormat w:val="1"/>
    <w:rsid w:val="009C5511"/>
    <w:pPr>
      <w:widowControl w:val="0"/>
      <w:autoSpaceDE w:val="0"/>
      <w:autoSpaceDN w:val="0"/>
      <w:jc w:val="left"/>
    </w:pPr>
  </w:style>
  <w:style w:type="character" w:styleId="BodyTextChar" w:customStyle="1">
    <w:name w:val="Body Text Char"/>
    <w:basedOn w:val="DefaultParagraphFont"/>
    <w:link w:val="BodyText"/>
    <w:uiPriority w:val="1"/>
    <w:rsid w:val="009C5511"/>
  </w:style>
  <w:style w:type="character" w:styleId="TitleChar" w:customStyle="1">
    <w:name w:val="Title Char"/>
    <w:basedOn w:val="DefaultParagraphFont"/>
    <w:link w:val="Title"/>
    <w:uiPriority w:val="10"/>
    <w:rsid w:val="009C5511"/>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mailto:email@email.com" TargetMode="External"/><Relationship Id="rId10" Type="http://schemas.openxmlformats.org/officeDocument/2006/relationships/hyperlink" Target="mailto:email@email.com" TargetMode="External"/><Relationship Id="rId13" Type="http://schemas.openxmlformats.org/officeDocument/2006/relationships/image" Target="media/image4.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email@email.com" TargetMode="External"/><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email@email.com" TargetMode="External"/><Relationship Id="rId8" Type="http://schemas.openxmlformats.org/officeDocument/2006/relationships/hyperlink" Target="mailto:email@email.com" TargetMode="External"/><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https://doi.org/10.33395/sinkron.xxx.xx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gM/mjTjGBlD1XXsyWZdKjk25kg==">CgMxLjAaJQoBMBIgCh4IB0IaCg9UaW1lcyBOZXcgUm9tYW4SB0d1bmdzdWgyCGguZ2pkZ3hzOAByITFydV90YUFseTJFaEJrUllqbGZlV3dkaFRpeHBhaUhubw==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2023-08-22T05:49:00Z</dcterms:created>
  <dc:creator>USER</dc:creator>
</cp:coreProperties>
</file>