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048"/>
        <w:gridCol w:w="3456"/>
      </w:tblGrid>
      <w:tr>
        <w:tc>
          <w:tcPr>
            <w:tcW w:type="dxa" w:w="4802"/>
          </w:tcPr>
          <w:p>
            <w:pPr>
              <w:spacing w:after="0"/>
            </w:pPr>
            <w:r>
              <w:rPr>
                <w:rFonts w:ascii="Times New Roman" w:hAnsi="Times New Roman"/>
                <w:b/>
                <w:color w:val="003366"/>
                <w:sz w:val="17"/>
              </w:rPr>
              <w:t>JURNAL SISFOKOM (Sistem Informasi dan Komputer)</w:t>
              <w:br/>
              <w:t>http://jurnal.atmaluhur.ac.id/index.php/sisfokom</w:t>
            </w:r>
          </w:p>
        </w:tc>
        <w:tc>
          <w:tcPr>
            <w:tcW w:type="dxa" w:w="4802"/>
          </w:tcPr>
          <w:p>
            <w:pPr>
              <w:spacing w:after="0"/>
              <w:jc w:val="right"/>
            </w:pPr>
            <w:r>
              <w:rPr>
                <w:rFonts w:ascii="Times New Roman" w:hAnsi="Times New Roman"/>
                <w:color w:val="787878"/>
                <w:sz w:val="16"/>
              </w:rPr>
              <w:t>p-ISSN: 2301-7988</w:t>
              <w:br/>
              <w:t>e-ISSN: 2581-0588</w:t>
              <w:br/>
              <w:t>SINTA 3 Accredited</w:t>
            </w:r>
          </w:p>
        </w:tc>
      </w:tr>
    </w:tbl>
    <w:p>
      <w:pPr>
        <w:spacing w:before="80" w:after="280"/>
        <w:jc w:val="center"/>
      </w:pPr>
      <w:r>
        <w:rPr>
          <w:color w:val="003366"/>
        </w:rPr>
        <w:t>_________________________________________________________________________________</w:t>
      </w:r>
    </w:p>
    <w:p>
      <w:pPr>
        <w:spacing w:after="240"/>
        <w:jc w:val="center"/>
      </w:pPr>
      <w:r>
        <w:rPr>
          <w:rFonts w:ascii="Times New Roman" w:hAnsi="Times New Roman"/>
          <w:b/>
          <w:sz w:val="28"/>
        </w:rPr>
        <w:t>Repeated Purchase Patterns of Consumers in a Roblox Virtual Goods Marketplace: An Analysis of Transaction Frequency and Inter-Transaction Intervals</w:t>
      </w:r>
    </w:p>
    <w:p>
      <w:pPr>
        <w:spacing w:after="80"/>
        <w:jc w:val="center"/>
      </w:pPr>
      <w:r>
        <w:rPr>
          <w:rFonts w:ascii="Times New Roman" w:hAnsi="Times New Roman"/>
          <w:b/>
          <w:sz w:val="21"/>
        </w:rPr>
        <w:t>Penulis Pertama1*, Penulis Kedua2</w:t>
      </w:r>
    </w:p>
    <w:p>
      <w:pPr>
        <w:spacing w:after="280"/>
        <w:jc w:val="center"/>
      </w:pPr>
      <w:r>
        <w:rPr>
          <w:rFonts w:ascii="Times New Roman" w:hAnsi="Times New Roman"/>
          <w:i/>
          <w:sz w:val="18"/>
        </w:rPr>
        <w:t>1,2Program Studi Sistem Informasi, Fakultas Ilmu Komputer, Nama Universitas</w:t>
        <w:br/>
        <w:t>Kota, Indonesia</w:t>
        <w:br/>
        <w:t>*email_korespondensi@kampus.ac.id</w:t>
      </w:r>
    </w:p>
    <w:tbl>
      <w:tblPr>
        <w:tblW w:type="auto" w:w="0"/>
        <w:jc w:val="center"/>
        <w:tblLayout w:type="fixed"/>
        <w:tblLook w:firstColumn="1" w:firstRow="1" w:lastColumn="0" w:lastRow="0" w:noHBand="0" w:noVBand="1" w:val="04A0"/>
      </w:tblPr>
      <w:tblGrid>
        <w:gridCol w:w="9504"/>
      </w:tblGrid>
      <w:tr>
        <w:tc>
          <w:tcPr>
            <w:tcW w:type="dxa" w:w="9605"/>
            <w:tcBorders>
              <w:top w:val="single" w:sz="6" w:space="0" w:color="003366"/>
              <w:left w:val="none"/>
              <w:bottom w:val="single" w:sz="6" w:space="0" w:color="003366"/>
              <w:right w:val="none"/>
            </w:tcBorders>
          </w:tcPr>
          <w:p>
            <w:pPr>
              <w:spacing w:before="80" w:after="80" w:line="252" w:lineRule="auto"/>
              <w:jc w:val="both"/>
            </w:pPr>
            <w:r>
              <w:rPr>
                <w:rFonts w:ascii="Times New Roman" w:hAnsi="Times New Roman"/>
                <w:b/>
                <w:sz w:val="18"/>
              </w:rPr>
              <w:t xml:space="preserve">Abstrak— </w:t>
            </w:r>
            <w:r>
              <w:rPr>
                <w:rFonts w:ascii="Times New Roman" w:hAnsi="Times New Roman"/>
                <w:sz w:val="18"/>
              </w:rPr>
              <w:t>Pertumbuhan pesat platform game daring telah mendorong berkembangnya pasar sekunder untuk perdagangan barang virtual (virtual goods). Karakteristik transaksi pada pasar digital Customer-to-Customer (C2C) ini memiliki dinamika operasional yang berbeda dari e-commerce fisik. Penelitian ini bertujuan untuk menganalisis pola perilaku pembelian berulang (repeat purchase pattern) konsumen barang virtual Roblox pada platform marketplace Itemku melalui analisis frekuensi transaksi dan interval waktu antar-pembelian (inter-purchase time). Penelitian ini menggunakan metode kuantitatif observasional berbasis data sekunder sebanyak 1.017 log transaksi riil dari 233 konsumen unik selama periode 18 Juni hingga 19 September 2026. Analisis komparatif dilakukan antara kelompok pembeli sekali (one-time buyers) dan pembeli berulang (repeat buyers). Hasil penelitian menunjukkan bahwa pembeli berulang mewakili 60,94% dari total konsumen, menghasilkan 91,05% volume pesanan (926 transaksi), dan menyumbang 92,62% total omzet penjualan (Rp 12,97 Juta dari Rp 14,00 Juta). Analisis interval membuktikan adanya pola transaksi berulang cepat (session-driven micro-purchases), di mana rata-rata interval adalah 1,31 hari dengan median 0,00 hari (hari yang sama), serta 75% pesanan berulang terjadi dalam rentang waktu kurang dari 15,6 jam. Temuan ini menegaskan bahwa keberlanjutan bisnis barang virtual sangat bergantung pada retensi frekuensi transaksi mikro dalam sesi bermain aktif konsumen.</w:t>
            </w:r>
          </w:p>
          <w:p>
            <w:pPr>
              <w:spacing w:after="120"/>
            </w:pPr>
            <w:r>
              <w:rPr>
                <w:rFonts w:ascii="Times New Roman" w:hAnsi="Times New Roman"/>
                <w:b/>
                <w:sz w:val="18"/>
              </w:rPr>
              <w:t xml:space="preserve">Kata Kunci: </w:t>
            </w:r>
            <w:r>
              <w:rPr>
                <w:rFonts w:ascii="Times New Roman" w:hAnsi="Times New Roman"/>
                <w:i/>
                <w:sz w:val="18"/>
              </w:rPr>
              <w:t>Barang Virtual, E-Commerce C2C, Frekuensi Transaksi, Interval Pembelian, Pembelian Berulang, Roblox.</w:t>
            </w:r>
          </w:p>
          <w:p>
            <w:pPr>
              <w:spacing w:before="80" w:after="80" w:line="252" w:lineRule="auto"/>
              <w:jc w:val="both"/>
            </w:pPr>
            <w:r>
              <w:rPr>
                <w:rFonts w:ascii="Times New Roman" w:hAnsi="Times New Roman"/>
                <w:b/>
                <w:sz w:val="18"/>
              </w:rPr>
              <w:t xml:space="preserve">Abstract— </w:t>
            </w:r>
            <w:r>
              <w:rPr>
                <w:rFonts w:ascii="Times New Roman" w:hAnsi="Times New Roman"/>
                <w:i/>
                <w:sz w:val="18"/>
              </w:rPr>
              <w:t>The rapid expansion of online gaming platforms has fostered secondary markets for virtual goods trading. Transaction processing characteristics in this C2C digital marketplace possess distinct operational dynamics compared to conventional physical e-commerce. This study aims to analyze the repeat purchase patterns of Roblox virtual goods consumers on the Itemku marketplace platform by examining the dimensions of transaction frequency and inter-purchase intervals. This research employs an observational quantitative method based on the processing of actual secondary transaction log data comprising 1,017 clean orders from 233 unique consumers between June 18 and September 19, 2026. A comparative cohort analysis was conducted between one-time buyers and repeat buyers. The empirical results reveal that repeat buyers constitute 60.94% of the total consumer base, generate 91.05% of total order volume (926 orders), and contribute 92.62% of total gross revenue (IDR 12.97 Million of IDR 14.00 Million). Inter-purchase interval analysis demonstrates a rapid-session micro-purchasing pattern, with an average interval of 1.31 days, a median of 0.00 days, and 75% of repeat orders occurring within less than 15.6 hours. These findings confirm that virtual goods commerce operates on compressed temporal horizons heavily reliant on repeat micro-transactions.</w:t>
            </w:r>
          </w:p>
          <w:p>
            <w:pPr>
              <w:spacing w:after="80"/>
            </w:pPr>
            <w:r>
              <w:rPr>
                <w:rFonts w:ascii="Times New Roman" w:hAnsi="Times New Roman"/>
                <w:b/>
                <w:sz w:val="18"/>
              </w:rPr>
              <w:t xml:space="preserve">Keywords: </w:t>
            </w:r>
            <w:r>
              <w:rPr>
                <w:rFonts w:ascii="Times New Roman" w:hAnsi="Times New Roman"/>
                <w:i/>
                <w:sz w:val="18"/>
              </w:rPr>
              <w:t>C2C E-Commerce, Inter-Purchase Interval, Purchase Frequency, Repeat Purchase, Roblox, Virtual Goods.</w:t>
            </w:r>
          </w:p>
        </w:tc>
      </w:tr>
    </w:tbl>
    <w:p>
      <w:pPr>
        <w:spacing w:before="80" w:after="80"/>
      </w:pPr>
    </w:p>
    <w:p>
      <w:pPr>
        <w:sectPr>
          <w:headerReference w:type="default" r:id="rId9"/>
          <w:pgSz w:w="11909" w:h="16834"/>
          <w:pgMar w:top="1152" w:right="1152" w:bottom="1152" w:left="1152" w:header="720" w:footer="720" w:gutter="0"/>
          <w:cols w:space="720"/>
          <w:docGrid w:linePitch="360"/>
        </w:sectPr>
      </w:pPr>
    </w:p>
    <w:p>
      <w:pPr>
        <w:spacing w:before="200" w:after="60" w:line="252" w:lineRule="auto"/>
      </w:pPr>
      <w:r>
        <w:rPr>
          <w:rFonts w:ascii="Times New Roman" w:hAnsi="Times New Roman"/>
          <w:b/>
          <w:sz w:val="20"/>
        </w:rPr>
        <w:t>I. PENDAHULUAN</w:t>
      </w:r>
    </w:p>
    <w:p>
      <w:pPr>
        <w:spacing w:after="80" w:line="252" w:lineRule="auto"/>
        <w:ind w:firstLine="288"/>
        <w:jc w:val="both"/>
      </w:pPr>
      <w:r>
        <w:rPr>
          <w:rFonts w:ascii="Times New Roman" w:hAnsi="Times New Roman"/>
          <w:sz w:val="19"/>
        </w:rPr>
        <w:t>Perkembangan teknologi komputasi dan internet telah mentransformasi industri hiburan digital secara fundamental, salah satunya melalui platform game berbasis komunitas seperti Roblox yang memfasilitasi jutaan interaksi ekonomi virtual setiap harinya [1]. Dalam ekosistem ini, barang virtual (virtual goods) berupa aksesoris, hewan peliharaan (pets), dan item penguat kemampuan game menjadi komoditas ekonomi yang memiliki nilai utilitas riil bagi penggunanya [2]. Kebutuhan pemain untuk memperoleh aset digital langka secara lebih fleksibel telah memicu pembentukan pasar sekunder pihak ketiga (third-party C2C marketplace), seperti platform Itemku di Indonesia.</w:t>
      </w:r>
    </w:p>
    <w:p>
      <w:pPr>
        <w:spacing w:after="80" w:line="252" w:lineRule="auto"/>
        <w:ind w:firstLine="288"/>
        <w:jc w:val="both"/>
      </w:pPr>
      <w:r>
        <w:rPr>
          <w:rFonts w:ascii="Times New Roman" w:hAnsi="Times New Roman"/>
          <w:sz w:val="19"/>
        </w:rPr>
        <w:t>Dalam bidang Sistem Informasi bisnis dan analitika e-commerce, pemrosesan data log transaksi sekunder (transaction data processing) stanowi fondasi utama untuk memahami efisiensi operasional dan pola perilaku aktual konsumen [3]. Salah satu indikator performa paling esensial dalam analitika pelanggan adalah perilaku pembelian berulang (repeat purchase behavior) [4]. Pada e-commerce barang fisik, interval dan frekuensi transaksi dipengaruhi oleh logistik pengiriman fisik dan masa pakai produk [5]. Sebaliknya, barang virtual memiliki karakteristik unik berupa wujud non-fisik (intangible), biaya marjinal nol, dan konsumsi seketika dalam sesi bermain [6].</w:t>
      </w:r>
    </w:p>
    <w:p>
      <w:pPr>
        <w:spacing w:after="80" w:line="252" w:lineRule="auto"/>
        <w:ind w:firstLine="288"/>
        <w:jc w:val="both"/>
      </w:pPr>
      <w:r>
        <w:rPr>
          <w:rFonts w:ascii="Times New Roman" w:hAnsi="Times New Roman"/>
          <w:sz w:val="19"/>
        </w:rPr>
        <w:t>Sebagian besar literatur terdahulu mengenai barang virtual lebih banyak mengeksplorasi motivasi psikologis melalui kuesioner persepsi, seperti Technology Acceptance Model (TAM) dan Theory of Planned Behavior [7], [8]. Namun, masih sangat terbatas penelitian empiris yang mengevaluasi data log transaksi aktual pada pasar sekunder C2C untuk membedah bagaimana distribusi frekuensi transaksi dan interval waktu antar-pembelian (inter-purchase time) terbentuk secara riil. Ketiadaan analisis berbasis data transaksi ini menjadi celah penelitian (research gap) yang mendasari studi ini.</w:t>
      </w:r>
    </w:p>
    <w:p>
      <w:pPr>
        <w:spacing w:after="80" w:line="252" w:lineRule="auto"/>
        <w:ind w:firstLine="288"/>
        <w:jc w:val="both"/>
      </w:pPr>
      <w:r>
        <w:rPr>
          <w:rFonts w:ascii="Times New Roman" w:hAnsi="Times New Roman"/>
          <w:sz w:val="19"/>
        </w:rPr>
        <w:t>Penelitian ini bertujuan untuk menganalisis pola pembelian berulang konsumen pada marketplace barang virtual Roblox melalui pendekatan analitika data transaksi sekunder. Tiga pertanyaan penelitian (Research Questions) yang dijawab adalah: (RQ1) Bagaimana distribusi struktural konsumen saat disegmentasikan menjadi pembeli sekali dan pembeli berulang? (RQ2) Bagaimana karakteristik distribusi frekuensi transaksi pada basis konsumen? dan (RQ3) Bagaimana pola temporal interval waktu antar-transaksi yang terbentuk pada pembeli berulang?</w:t>
      </w:r>
    </w:p>
    <w:p>
      <w:pPr>
        <w:spacing w:before="200" w:after="60" w:line="252" w:lineRule="auto"/>
      </w:pPr>
      <w:r>
        <w:rPr>
          <w:rFonts w:ascii="Times New Roman" w:hAnsi="Times New Roman"/>
          <w:b/>
          <w:sz w:val="20"/>
        </w:rPr>
        <w:t>II. METODE PENELITIAN</w:t>
      </w:r>
    </w:p>
    <w:p>
      <w:pPr>
        <w:spacing w:before="120" w:after="40" w:line="252" w:lineRule="auto"/>
      </w:pPr>
      <w:r>
        <w:rPr>
          <w:rFonts w:ascii="Times New Roman" w:hAnsi="Times New Roman"/>
          <w:b/>
          <w:sz w:val="19"/>
        </w:rPr>
        <w:t>A. Desain Penelitian dan Sumber Data</w:t>
      </w:r>
    </w:p>
    <w:p>
      <w:pPr>
        <w:spacing w:after="80" w:line="252" w:lineRule="auto"/>
        <w:ind w:firstLine="288"/>
        <w:jc w:val="both"/>
      </w:pPr>
      <w:r>
        <w:rPr>
          <w:rFonts w:ascii="Times New Roman" w:hAnsi="Times New Roman"/>
          <w:sz w:val="19"/>
        </w:rPr>
        <w:t>Penelitian ini menerapkan pendekatan kuantitatif deskriptif-observasional berbasis data sekunder. Data yang dianalisis merupakan catatan log transaksi aktual dari entitas penjual aktif di marketplace Itemku untuk kategori produk game Roblox (khususnya sub-game Build A Zoo dan Chop Your Tree). Periode observasi mencakup 94 hari kalender berturut-turut, dari 18 Juni 2026 hingga 19 September 2026. Dataset gabungan mencakup 1.017 transaksi bersih dari 233 akun konsumen unik pada 337 judul item digital yang terdaftar.</w:t>
      </w:r>
    </w:p>
    <w:p>
      <w:pPr>
        <w:spacing w:before="120" w:after="40" w:line="252" w:lineRule="auto"/>
      </w:pPr>
      <w:r>
        <w:rPr>
          <w:rFonts w:ascii="Times New Roman" w:hAnsi="Times New Roman"/>
          <w:b/>
          <w:sz w:val="19"/>
        </w:rPr>
        <w:t>B. Operasionalisasi Variabel Dataset</w:t>
      </w:r>
    </w:p>
    <w:p>
      <w:pPr>
        <w:spacing w:after="80" w:line="252" w:lineRule="auto"/>
        <w:ind w:firstLine="288"/>
        <w:jc w:val="both"/>
      </w:pPr>
      <w:r>
        <w:rPr>
          <w:rFonts w:ascii="Times New Roman" w:hAnsi="Times New Roman"/>
          <w:sz w:val="19"/>
        </w:rPr>
        <w:t>Variabel-variabel utama yang diekstraksi dari skema database transaksi dirangkum pada Tabel I.</w:t>
      </w:r>
    </w:p>
    <w:p>
      <w:pPr>
        <w:spacing w:before="80" w:after="40"/>
        <w:jc w:val="center"/>
      </w:pPr>
      <w:r>
        <w:rPr>
          <w:rFonts w:ascii="Times New Roman" w:hAnsi="Times New Roman"/>
          <w:b/>
          <w:sz w:val="17"/>
        </w:rPr>
        <w:t>TABEL I</w:t>
        <w:br/>
        <w:t>VARIABEL DATASET DAN DEFINISI OPERASIONAL</w:t>
      </w:r>
    </w:p>
    <w:tbl>
      <w:tblPr>
        <w:tblW w:type="auto" w:w="0"/>
        <w:jc w:val="center"/>
        <w:tblLook w:firstColumn="1" w:firstRow="1" w:lastColumn="0" w:lastRow="0" w:noHBand="0" w:noVBand="1" w:val="04A0"/>
      </w:tblPr>
      <w:tblGrid>
        <w:gridCol w:w="1584"/>
        <w:gridCol w:w="1872"/>
        <w:gridCol w:w="1152"/>
      </w:tblGrid>
      <w:tr>
        <w:tc>
          <w:tcPr>
            <w:tcW w:type="dxa" w:w="3202"/>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Variabel</w:t>
            </w:r>
          </w:p>
        </w:tc>
        <w:tc>
          <w:tcPr>
            <w:tcW w:type="dxa" w:w="3202"/>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Deskripsi Operasional</w:t>
            </w:r>
          </w:p>
        </w:tc>
        <w:tc>
          <w:tcPr>
            <w:tcW w:type="dxa" w:w="3202"/>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Tipe Data</w:t>
            </w:r>
          </w:p>
        </w:tc>
      </w:tr>
      <w:tr>
        <w:tc>
          <w:tcPr>
            <w:tcW w:type="dxa" w:w="3202"/>
            <w:vAlign w:val="center"/>
            <w:tcBorders>
              <w:top w:val="none"/>
              <w:left w:val="none"/>
              <w:bottom w:val="none"/>
              <w:right w:val="none"/>
            </w:tcBorders>
          </w:tcPr>
          <w:p>
            <w:pPr>
              <w:spacing w:after="20"/>
            </w:pPr>
            <w:r>
              <w:rPr>
                <w:rFonts w:ascii="Times New Roman" w:hAnsi="Times New Roman"/>
                <w:sz w:val="15"/>
              </w:rPr>
              <w:t>Nomor_Pesanan</w:t>
            </w:r>
          </w:p>
        </w:tc>
        <w:tc>
          <w:tcPr>
            <w:tcW w:type="dxa" w:w="3202"/>
            <w:vAlign w:val="center"/>
            <w:tcBorders>
              <w:top w:val="none"/>
              <w:left w:val="none"/>
              <w:bottom w:val="none"/>
              <w:right w:val="none"/>
            </w:tcBorders>
          </w:tcPr>
          <w:p>
            <w:pPr>
              <w:spacing w:after="20"/>
            </w:pPr>
            <w:r>
              <w:rPr>
                <w:rFonts w:ascii="Times New Roman" w:hAnsi="Times New Roman"/>
                <w:sz w:val="15"/>
              </w:rPr>
              <w:t>ID unik pengenal transaksi</w:t>
            </w:r>
          </w:p>
        </w:tc>
        <w:tc>
          <w:tcPr>
            <w:tcW w:type="dxa" w:w="3202"/>
            <w:vAlign w:val="center"/>
            <w:tcBorders>
              <w:top w:val="none"/>
              <w:left w:val="none"/>
              <w:bottom w:val="none"/>
              <w:right w:val="none"/>
            </w:tcBorders>
          </w:tcPr>
          <w:p>
            <w:pPr>
              <w:spacing w:after="20"/>
            </w:pPr>
            <w:r>
              <w:rPr>
                <w:rFonts w:ascii="Times New Roman" w:hAnsi="Times New Roman"/>
                <w:sz w:val="15"/>
              </w:rPr>
              <w:t>String</w:t>
            </w:r>
          </w:p>
        </w:tc>
      </w:tr>
      <w:tr>
        <w:tc>
          <w:tcPr>
            <w:tcW w:type="dxa" w:w="3202"/>
            <w:vAlign w:val="center"/>
            <w:tcBorders>
              <w:top w:val="none"/>
              <w:left w:val="none"/>
              <w:bottom w:val="none"/>
              <w:right w:val="none"/>
            </w:tcBorders>
          </w:tcPr>
          <w:p>
            <w:pPr>
              <w:spacing w:after="20"/>
            </w:pPr>
            <w:r>
              <w:rPr>
                <w:rFonts w:ascii="Times New Roman" w:hAnsi="Times New Roman"/>
                <w:sz w:val="15"/>
              </w:rPr>
              <w:t>Nama_Pembeli</w:t>
            </w:r>
          </w:p>
        </w:tc>
        <w:tc>
          <w:tcPr>
            <w:tcW w:type="dxa" w:w="3202"/>
            <w:vAlign w:val="center"/>
            <w:tcBorders>
              <w:top w:val="none"/>
              <w:left w:val="none"/>
              <w:bottom w:val="none"/>
              <w:right w:val="none"/>
            </w:tcBorders>
          </w:tcPr>
          <w:p>
            <w:pPr>
              <w:spacing w:after="20"/>
            </w:pPr>
            <w:r>
              <w:rPr>
                <w:rFonts w:ascii="Times New Roman" w:hAnsi="Times New Roman"/>
                <w:sz w:val="15"/>
              </w:rPr>
              <w:t>ID unik anonim akun konsumen</w:t>
            </w:r>
          </w:p>
        </w:tc>
        <w:tc>
          <w:tcPr>
            <w:tcW w:type="dxa" w:w="3202"/>
            <w:vAlign w:val="center"/>
            <w:tcBorders>
              <w:top w:val="none"/>
              <w:left w:val="none"/>
              <w:bottom w:val="none"/>
              <w:right w:val="none"/>
            </w:tcBorders>
          </w:tcPr>
          <w:p>
            <w:pPr>
              <w:spacing w:after="20"/>
            </w:pPr>
            <w:r>
              <w:rPr>
                <w:rFonts w:ascii="Times New Roman" w:hAnsi="Times New Roman"/>
                <w:sz w:val="15"/>
              </w:rPr>
              <w:t>String</w:t>
            </w:r>
          </w:p>
        </w:tc>
      </w:tr>
      <w:tr>
        <w:tc>
          <w:tcPr>
            <w:tcW w:type="dxa" w:w="3202"/>
            <w:vAlign w:val="center"/>
            <w:tcBorders>
              <w:top w:val="none"/>
              <w:left w:val="none"/>
              <w:bottom w:val="none"/>
              <w:right w:val="none"/>
            </w:tcBorders>
          </w:tcPr>
          <w:p>
            <w:pPr>
              <w:spacing w:after="20"/>
            </w:pPr>
            <w:r>
              <w:rPr>
                <w:rFonts w:ascii="Times New Roman" w:hAnsi="Times New Roman"/>
                <w:sz w:val="15"/>
              </w:rPr>
              <w:t>Tanggal_Dibayar</w:t>
            </w:r>
          </w:p>
        </w:tc>
        <w:tc>
          <w:tcPr>
            <w:tcW w:type="dxa" w:w="3202"/>
            <w:vAlign w:val="center"/>
            <w:tcBorders>
              <w:top w:val="none"/>
              <w:left w:val="none"/>
              <w:bottom w:val="none"/>
              <w:right w:val="none"/>
            </w:tcBorders>
          </w:tcPr>
          <w:p>
            <w:pPr>
              <w:spacing w:after="20"/>
            </w:pPr>
            <w:r>
              <w:rPr>
                <w:rFonts w:ascii="Times New Roman" w:hAnsi="Times New Roman"/>
                <w:sz w:val="15"/>
              </w:rPr>
              <w:t>Timestamp pembayaran lunas (WIB)</w:t>
            </w:r>
          </w:p>
        </w:tc>
        <w:tc>
          <w:tcPr>
            <w:tcW w:type="dxa" w:w="3202"/>
            <w:vAlign w:val="center"/>
            <w:tcBorders>
              <w:top w:val="none"/>
              <w:left w:val="none"/>
              <w:bottom w:val="none"/>
              <w:right w:val="none"/>
            </w:tcBorders>
          </w:tcPr>
          <w:p>
            <w:pPr>
              <w:spacing w:after="20"/>
            </w:pPr>
            <w:r>
              <w:rPr>
                <w:rFonts w:ascii="Times New Roman" w:hAnsi="Times New Roman"/>
                <w:sz w:val="15"/>
              </w:rPr>
              <w:t>Datetime</w:t>
            </w:r>
          </w:p>
        </w:tc>
      </w:tr>
      <w:tr>
        <w:tc>
          <w:tcPr>
            <w:tcW w:type="dxa" w:w="3202"/>
            <w:vAlign w:val="center"/>
            <w:tcBorders>
              <w:top w:val="none"/>
              <w:left w:val="none"/>
              <w:bottom w:val="none"/>
              <w:right w:val="none"/>
            </w:tcBorders>
          </w:tcPr>
          <w:p>
            <w:pPr>
              <w:spacing w:after="20"/>
            </w:pPr>
            <w:r>
              <w:rPr>
                <w:rFonts w:ascii="Times New Roman" w:hAnsi="Times New Roman"/>
                <w:sz w:val="15"/>
              </w:rPr>
              <w:t>Tanggal_Dikirim</w:t>
            </w:r>
          </w:p>
        </w:tc>
        <w:tc>
          <w:tcPr>
            <w:tcW w:type="dxa" w:w="3202"/>
            <w:vAlign w:val="center"/>
            <w:tcBorders>
              <w:top w:val="none"/>
              <w:left w:val="none"/>
              <w:bottom w:val="none"/>
              <w:right w:val="none"/>
            </w:tcBorders>
          </w:tcPr>
          <w:p>
            <w:pPr>
              <w:spacing w:after="20"/>
            </w:pPr>
            <w:r>
              <w:rPr>
                <w:rFonts w:ascii="Times New Roman" w:hAnsi="Times New Roman"/>
                <w:sz w:val="15"/>
              </w:rPr>
              <w:t>Timestamp penyelesaian kirim item</w:t>
            </w:r>
          </w:p>
        </w:tc>
        <w:tc>
          <w:tcPr>
            <w:tcW w:type="dxa" w:w="3202"/>
            <w:vAlign w:val="center"/>
            <w:tcBorders>
              <w:top w:val="none"/>
              <w:left w:val="none"/>
              <w:bottom w:val="none"/>
              <w:right w:val="none"/>
            </w:tcBorders>
          </w:tcPr>
          <w:p>
            <w:pPr>
              <w:spacing w:after="20"/>
            </w:pPr>
            <w:r>
              <w:rPr>
                <w:rFonts w:ascii="Times New Roman" w:hAnsi="Times New Roman"/>
                <w:sz w:val="15"/>
              </w:rPr>
              <w:t>Datetime</w:t>
            </w:r>
          </w:p>
        </w:tc>
      </w:tr>
      <w:tr>
        <w:tc>
          <w:tcPr>
            <w:tcW w:type="dxa" w:w="3202"/>
            <w:vAlign w:val="center"/>
            <w:tcBorders>
              <w:top w:val="none"/>
              <w:left w:val="none"/>
              <w:bottom w:val="none"/>
              <w:right w:val="none"/>
            </w:tcBorders>
          </w:tcPr>
          <w:p>
            <w:pPr>
              <w:spacing w:after="20"/>
            </w:pPr>
            <w:r>
              <w:rPr>
                <w:rFonts w:ascii="Times New Roman" w:hAnsi="Times New Roman"/>
                <w:sz w:val="15"/>
              </w:rPr>
              <w:t>Harga_Jual</w:t>
            </w:r>
          </w:p>
        </w:tc>
        <w:tc>
          <w:tcPr>
            <w:tcW w:type="dxa" w:w="3202"/>
            <w:vAlign w:val="center"/>
            <w:tcBorders>
              <w:top w:val="none"/>
              <w:left w:val="none"/>
              <w:bottom w:val="none"/>
              <w:right w:val="none"/>
            </w:tcBorders>
          </w:tcPr>
          <w:p>
            <w:pPr>
              <w:spacing w:after="20"/>
            </w:pPr>
            <w:r>
              <w:rPr>
                <w:rFonts w:ascii="Times New Roman" w:hAnsi="Times New Roman"/>
                <w:sz w:val="15"/>
              </w:rPr>
              <w:t>Nominal transaksi bruto (Rp)</w:t>
            </w:r>
          </w:p>
        </w:tc>
        <w:tc>
          <w:tcPr>
            <w:tcW w:type="dxa" w:w="3202"/>
            <w:vAlign w:val="center"/>
            <w:tcBorders>
              <w:top w:val="none"/>
              <w:left w:val="none"/>
              <w:bottom w:val="none"/>
              <w:right w:val="none"/>
            </w:tcBorders>
          </w:tcPr>
          <w:p>
            <w:pPr>
              <w:spacing w:after="20"/>
            </w:pPr>
            <w:r>
              <w:rPr>
                <w:rFonts w:ascii="Times New Roman" w:hAnsi="Times New Roman"/>
                <w:sz w:val="15"/>
              </w:rPr>
              <w:t>Integer</w:t>
            </w:r>
          </w:p>
        </w:tc>
      </w:tr>
      <w:tr>
        <w:tc>
          <w:tcPr>
            <w:tcW w:type="dxa" w:w="3202"/>
            <w:vAlign w:val="center"/>
            <w:tcBorders>
              <w:top w:val="none"/>
              <w:left w:val="none"/>
              <w:bottom w:val="single" w:sz="8" w:space="0" w:color="000000"/>
              <w:right w:val="none"/>
            </w:tcBorders>
          </w:tcPr>
          <w:p>
            <w:pPr>
              <w:spacing w:after="20"/>
            </w:pPr>
            <w:r>
              <w:rPr>
                <w:rFonts w:ascii="Times New Roman" w:hAnsi="Times New Roman"/>
                <w:sz w:val="15"/>
              </w:rPr>
              <w:t>Status_Pesanan</w:t>
            </w:r>
          </w:p>
        </w:tc>
        <w:tc>
          <w:tcPr>
            <w:tcW w:type="dxa" w:w="3202"/>
            <w:vAlign w:val="center"/>
            <w:tcBorders>
              <w:top w:val="none"/>
              <w:left w:val="none"/>
              <w:bottom w:val="single" w:sz="8" w:space="0" w:color="000000"/>
              <w:right w:val="none"/>
            </w:tcBorders>
          </w:tcPr>
          <w:p>
            <w:pPr>
              <w:spacing w:after="20"/>
            </w:pPr>
            <w:r>
              <w:rPr>
                <w:rFonts w:ascii="Times New Roman" w:hAnsi="Times New Roman"/>
                <w:sz w:val="15"/>
              </w:rPr>
              <w:t>Status akhir pesanan sistem</w:t>
            </w:r>
          </w:p>
        </w:tc>
        <w:tc>
          <w:tcPr>
            <w:tcW w:type="dxa" w:w="3202"/>
            <w:vAlign w:val="center"/>
            <w:tcBorders>
              <w:top w:val="none"/>
              <w:left w:val="none"/>
              <w:bottom w:val="single" w:sz="8" w:space="0" w:color="000000"/>
              <w:right w:val="none"/>
            </w:tcBorders>
          </w:tcPr>
          <w:p>
            <w:pPr>
              <w:spacing w:after="20"/>
            </w:pPr>
            <w:r>
              <w:rPr>
                <w:rFonts w:ascii="Times New Roman" w:hAnsi="Times New Roman"/>
                <w:sz w:val="15"/>
              </w:rPr>
              <w:t>Categorical</w:t>
            </w:r>
          </w:p>
        </w:tc>
      </w:tr>
    </w:tbl>
    <w:p>
      <w:pPr>
        <w:spacing w:before="120" w:after="40" w:line="252" w:lineRule="auto"/>
      </w:pPr>
      <w:r>
        <w:rPr>
          <w:rFonts w:ascii="Times New Roman" w:hAnsi="Times New Roman"/>
          <w:b/>
          <w:sz w:val="19"/>
        </w:rPr>
        <w:t>C. Pembersihan Data dan Klasifikasi Konsumen</w:t>
      </w:r>
    </w:p>
    <w:p>
      <w:pPr>
        <w:spacing w:after="80" w:line="252" w:lineRule="auto"/>
        <w:ind w:firstLine="288"/>
        <w:jc w:val="both"/>
      </w:pPr>
      <w:r>
        <w:rPr>
          <w:rFonts w:ascii="Times New Roman" w:hAnsi="Times New Roman"/>
          <w:sz w:val="19"/>
        </w:rPr>
        <w:t>Audit data memastikan tidak terdapat duplikasi Nomor_Pesanan (0 duplikat). Variabel kunci tidak memiliki nilai kosong (0% missing). Status pesanan mencakup 922 Selesai (90,66%), 77 Dana Dikembalikan (7,57%), dan 18 Konfirmasi Pembeli (1,77%). Harga jual berkisar antara Rp 200 hingga Rp 850.000 (Rata-rata = Rp 13.771,98, Median = Rp 2.000).</w:t>
      </w:r>
    </w:p>
    <w:p>
      <w:pPr>
        <w:spacing w:after="80" w:line="252" w:lineRule="auto"/>
        <w:ind w:firstLine="288"/>
        <w:jc w:val="both"/>
      </w:pPr>
      <w:r>
        <w:rPr>
          <w:rFonts w:ascii="Times New Roman" w:hAnsi="Times New Roman"/>
          <w:sz w:val="19"/>
        </w:rPr>
        <w:t>Konsumen diklasifikasikan secara objektif berdasarkan jumlah transaksi tercatat: Pembeli Sekali (One-Time Buyer) didefinisikan memiliki tepat 1 transaksi (Fi = 1), sedangkan Pembeli Berulang (Repeat Buyer) memiliki 2 transaksi atau lebih (Fi &gt;= 2). Frekuensi pembelian dirumuskan sebagai:</w:t>
        <w:br/>
        <w:t>Fi = Ni                                                    (1)</w:t>
        <w:br/>
        <w:t>di mana Ni adalah total akumulasi transaksi oleh konsumen i.</w:t>
      </w:r>
    </w:p>
    <w:p>
      <w:pPr>
        <w:spacing w:after="80" w:line="252" w:lineRule="auto"/>
        <w:ind w:firstLine="288"/>
        <w:jc w:val="both"/>
      </w:pPr>
      <w:r>
        <w:rPr>
          <w:rFonts w:ascii="Times New Roman" w:hAnsi="Times New Roman"/>
          <w:sz w:val="19"/>
        </w:rPr>
        <w:t>Untuk pembeli berulang, seluruh pesanan diurutkan secara kronologis berdasarkan Tanggal_Dibayar_Pembeli. Interval antar-transaksi I(i,j) dirumuskan sebagai:</w:t>
        <w:br/>
        <w:t>I(i,j) = T(i,j) - T(i,j-1)                                  (2)</w:t>
        <w:br/>
        <w:t>di mana T(i,j) adalah timestamp transaksi ke-j dan T(i,j-1) adalah timestamp transaksi sebelumnya, dihitung dalam satuan hari dan jam.</w:t>
      </w:r>
    </w:p>
    <w:p>
      <w:pPr>
        <w:spacing w:before="200" w:after="60" w:line="252" w:lineRule="auto"/>
      </w:pPr>
      <w:r>
        <w:rPr>
          <w:rFonts w:ascii="Times New Roman" w:hAnsi="Times New Roman"/>
          <w:b/>
          <w:sz w:val="20"/>
        </w:rPr>
        <w:t>III. HASIL DAN PEMBAHASAN</w:t>
      </w:r>
    </w:p>
    <w:p>
      <w:pPr>
        <w:spacing w:before="120" w:after="40" w:line="252" w:lineRule="auto"/>
      </w:pPr>
      <w:r>
        <w:rPr>
          <w:rFonts w:ascii="Times New Roman" w:hAnsi="Times New Roman"/>
          <w:b/>
          <w:sz w:val="19"/>
        </w:rPr>
        <w:t>A. Karakteristik Umum dan Durasi Layanan</w:t>
      </w:r>
    </w:p>
    <w:p>
      <w:pPr>
        <w:spacing w:after="80" w:line="252" w:lineRule="auto"/>
        <w:ind w:firstLine="288"/>
        <w:jc w:val="both"/>
      </w:pPr>
      <w:r>
        <w:rPr>
          <w:rFonts w:ascii="Times New Roman" w:hAnsi="Times New Roman"/>
          <w:sz w:val="19"/>
        </w:rPr>
        <w:t>Selama 94 hari pengamatan, 1.017 transaksi menghasilkan total perputaran omzet kotor sebesar Rp 14.006.100. Analisis terhadap 941 pesanan terkirim menunjukkan rata-rata waktu pemenuhan pesanan sebesar 294,8 menit (~4,91 jam) dengan median 61,4 menit (~1,02 jam). Sebanyak 50,48% pesanan membutuhkan waktu lebih dari 1 jam, yang merefleksikan model operasional pengiriman manual di dalam game (in-game trade) oleh pedagang mikro.</w:t>
      </w:r>
    </w:p>
    <w:p>
      <w:pPr>
        <w:spacing w:before="120" w:after="40" w:line="252" w:lineRule="auto"/>
      </w:pPr>
      <w:r>
        <w:rPr>
          <w:rFonts w:ascii="Times New Roman" w:hAnsi="Times New Roman"/>
          <w:b/>
          <w:sz w:val="19"/>
        </w:rPr>
        <w:t>B. Analisis Komparatif Segmen Konsumen</w:t>
      </w:r>
    </w:p>
    <w:p>
      <w:pPr>
        <w:spacing w:after="80" w:line="252" w:lineRule="auto"/>
        <w:ind w:firstLine="288"/>
        <w:jc w:val="both"/>
      </w:pPr>
      <w:r>
        <w:rPr>
          <w:rFonts w:ascii="Times New Roman" w:hAnsi="Times New Roman"/>
          <w:sz w:val="19"/>
        </w:rPr>
        <w:t>Perbandingan empiris antara segmen pembeli sekali dan pembeli berulang disajikan pada Tabel II.</w:t>
      </w:r>
    </w:p>
    <w:p>
      <w:pPr>
        <w:spacing w:before="80" w:after="40"/>
        <w:jc w:val="center"/>
      </w:pPr>
      <w:r>
        <w:rPr>
          <w:rFonts w:ascii="Times New Roman" w:hAnsi="Times New Roman"/>
          <w:b/>
          <w:sz w:val="17"/>
        </w:rPr>
        <w:t>TABEL II</w:t>
        <w:br/>
        <w:t>PERBANDINGAN PEMBELI SEKALI VS BERULANG</w:t>
      </w:r>
    </w:p>
    <w:tbl>
      <w:tblPr>
        <w:tblW w:type="auto" w:w="0"/>
        <w:jc w:val="center"/>
        <w:tblLook w:firstColumn="1" w:firstRow="1" w:lastColumn="0" w:lastRow="0" w:noHBand="0" w:noVBand="1" w:val="04A0"/>
      </w:tblPr>
      <w:tblGrid>
        <w:gridCol w:w="1872"/>
        <w:gridCol w:w="1296"/>
        <w:gridCol w:w="1440"/>
      </w:tblGrid>
      <w:tr>
        <w:tc>
          <w:tcPr>
            <w:tcW w:type="dxa" w:w="3202"/>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Parameter Metrik</w:t>
            </w:r>
          </w:p>
        </w:tc>
        <w:tc>
          <w:tcPr>
            <w:tcW w:type="dxa" w:w="3202"/>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Pembeli Sekali (F=1)</w:t>
            </w:r>
          </w:p>
        </w:tc>
        <w:tc>
          <w:tcPr>
            <w:tcW w:type="dxa" w:w="3202"/>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Pembeli Berulang (F&gt;=2)</w:t>
            </w:r>
          </w:p>
        </w:tc>
      </w:tr>
      <w:tr>
        <w:tc>
          <w:tcPr>
            <w:tcW w:type="dxa" w:w="3202"/>
            <w:vAlign w:val="center"/>
            <w:tcBorders>
              <w:top w:val="none"/>
              <w:left w:val="none"/>
              <w:bottom w:val="none"/>
              <w:right w:val="none"/>
            </w:tcBorders>
          </w:tcPr>
          <w:p>
            <w:pPr>
              <w:spacing w:after="20"/>
            </w:pPr>
            <w:r>
              <w:rPr>
                <w:rFonts w:ascii="Times New Roman" w:hAnsi="Times New Roman"/>
                <w:sz w:val="15"/>
              </w:rPr>
              <w:t>Jumlah Konsumen Unik</w:t>
            </w:r>
          </w:p>
        </w:tc>
        <w:tc>
          <w:tcPr>
            <w:tcW w:type="dxa" w:w="3202"/>
            <w:vAlign w:val="center"/>
            <w:tcBorders>
              <w:top w:val="none"/>
              <w:left w:val="none"/>
              <w:bottom w:val="none"/>
              <w:right w:val="none"/>
            </w:tcBorders>
          </w:tcPr>
          <w:p>
            <w:pPr>
              <w:spacing w:after="20"/>
            </w:pPr>
            <w:r>
              <w:rPr>
                <w:rFonts w:ascii="Times New Roman" w:hAnsi="Times New Roman"/>
                <w:sz w:val="15"/>
              </w:rPr>
              <w:t>91 (39,06%)</w:t>
            </w:r>
          </w:p>
        </w:tc>
        <w:tc>
          <w:tcPr>
            <w:tcW w:type="dxa" w:w="3202"/>
            <w:vAlign w:val="center"/>
            <w:tcBorders>
              <w:top w:val="none"/>
              <w:left w:val="none"/>
              <w:bottom w:val="none"/>
              <w:right w:val="none"/>
            </w:tcBorders>
          </w:tcPr>
          <w:p>
            <w:pPr>
              <w:spacing w:after="20"/>
            </w:pPr>
            <w:r>
              <w:rPr>
                <w:rFonts w:ascii="Times New Roman" w:hAnsi="Times New Roman"/>
                <w:sz w:val="15"/>
              </w:rPr>
              <w:t>142 (60,94%)</w:t>
            </w:r>
          </w:p>
        </w:tc>
      </w:tr>
      <w:tr>
        <w:tc>
          <w:tcPr>
            <w:tcW w:type="dxa" w:w="3202"/>
            <w:vAlign w:val="center"/>
            <w:tcBorders>
              <w:top w:val="none"/>
              <w:left w:val="none"/>
              <w:bottom w:val="none"/>
              <w:right w:val="none"/>
            </w:tcBorders>
          </w:tcPr>
          <w:p>
            <w:pPr>
              <w:spacing w:after="20"/>
            </w:pPr>
            <w:r>
              <w:rPr>
                <w:rFonts w:ascii="Times New Roman" w:hAnsi="Times New Roman"/>
                <w:sz w:val="15"/>
              </w:rPr>
              <w:t>Volume Pesanan</w:t>
            </w:r>
          </w:p>
        </w:tc>
        <w:tc>
          <w:tcPr>
            <w:tcW w:type="dxa" w:w="3202"/>
            <w:vAlign w:val="center"/>
            <w:tcBorders>
              <w:top w:val="none"/>
              <w:left w:val="none"/>
              <w:bottom w:val="none"/>
              <w:right w:val="none"/>
            </w:tcBorders>
          </w:tcPr>
          <w:p>
            <w:pPr>
              <w:spacing w:after="20"/>
            </w:pPr>
            <w:r>
              <w:rPr>
                <w:rFonts w:ascii="Times New Roman" w:hAnsi="Times New Roman"/>
                <w:sz w:val="15"/>
              </w:rPr>
              <w:t>91 (8,95%)</w:t>
            </w:r>
          </w:p>
        </w:tc>
        <w:tc>
          <w:tcPr>
            <w:tcW w:type="dxa" w:w="3202"/>
            <w:vAlign w:val="center"/>
            <w:tcBorders>
              <w:top w:val="none"/>
              <w:left w:val="none"/>
              <w:bottom w:val="none"/>
              <w:right w:val="none"/>
            </w:tcBorders>
          </w:tcPr>
          <w:p>
            <w:pPr>
              <w:spacing w:after="20"/>
            </w:pPr>
            <w:r>
              <w:rPr>
                <w:rFonts w:ascii="Times New Roman" w:hAnsi="Times New Roman"/>
                <w:sz w:val="15"/>
              </w:rPr>
              <w:t>926 (91,05%)</w:t>
            </w:r>
          </w:p>
        </w:tc>
      </w:tr>
      <w:tr>
        <w:tc>
          <w:tcPr>
            <w:tcW w:type="dxa" w:w="3202"/>
            <w:vAlign w:val="center"/>
            <w:tcBorders>
              <w:top w:val="none"/>
              <w:left w:val="none"/>
              <w:bottom w:val="none"/>
              <w:right w:val="none"/>
            </w:tcBorders>
          </w:tcPr>
          <w:p>
            <w:pPr>
              <w:spacing w:after="20"/>
            </w:pPr>
            <w:r>
              <w:rPr>
                <w:rFonts w:ascii="Times New Roman" w:hAnsi="Times New Roman"/>
                <w:sz w:val="15"/>
              </w:rPr>
              <w:t>Kontribusi Omzet (Rp)</w:t>
            </w:r>
          </w:p>
        </w:tc>
        <w:tc>
          <w:tcPr>
            <w:tcW w:type="dxa" w:w="3202"/>
            <w:vAlign w:val="center"/>
            <w:tcBorders>
              <w:top w:val="none"/>
              <w:left w:val="none"/>
              <w:bottom w:val="none"/>
              <w:right w:val="none"/>
            </w:tcBorders>
          </w:tcPr>
          <w:p>
            <w:pPr>
              <w:spacing w:after="20"/>
            </w:pPr>
            <w:r>
              <w:rPr>
                <w:rFonts w:ascii="Times New Roman" w:hAnsi="Times New Roman"/>
                <w:sz w:val="15"/>
              </w:rPr>
              <w:t>Rp 1.034.300 (7,38%)</w:t>
            </w:r>
          </w:p>
        </w:tc>
        <w:tc>
          <w:tcPr>
            <w:tcW w:type="dxa" w:w="3202"/>
            <w:vAlign w:val="center"/>
            <w:tcBorders>
              <w:top w:val="none"/>
              <w:left w:val="none"/>
              <w:bottom w:val="none"/>
              <w:right w:val="none"/>
            </w:tcBorders>
          </w:tcPr>
          <w:p>
            <w:pPr>
              <w:spacing w:after="20"/>
            </w:pPr>
            <w:r>
              <w:rPr>
                <w:rFonts w:ascii="Times New Roman" w:hAnsi="Times New Roman"/>
                <w:sz w:val="15"/>
              </w:rPr>
              <w:t>Rp 12.971.800 (92,62%)</w:t>
            </w:r>
          </w:p>
        </w:tc>
      </w:tr>
      <w:tr>
        <w:tc>
          <w:tcPr>
            <w:tcW w:type="dxa" w:w="3202"/>
            <w:vAlign w:val="center"/>
            <w:tcBorders>
              <w:top w:val="none"/>
              <w:left w:val="none"/>
              <w:bottom w:val="none"/>
              <w:right w:val="none"/>
            </w:tcBorders>
          </w:tcPr>
          <w:p>
            <w:pPr>
              <w:spacing w:after="20"/>
            </w:pPr>
            <w:r>
              <w:rPr>
                <w:rFonts w:ascii="Times New Roman" w:hAnsi="Times New Roman"/>
                <w:sz w:val="15"/>
              </w:rPr>
              <w:t>Rata-rata Nilai Order</w:t>
            </w:r>
          </w:p>
        </w:tc>
        <w:tc>
          <w:tcPr>
            <w:tcW w:type="dxa" w:w="3202"/>
            <w:vAlign w:val="center"/>
            <w:tcBorders>
              <w:top w:val="none"/>
              <w:left w:val="none"/>
              <w:bottom w:val="none"/>
              <w:right w:val="none"/>
            </w:tcBorders>
          </w:tcPr>
          <w:p>
            <w:pPr>
              <w:spacing w:after="20"/>
            </w:pPr>
            <w:r>
              <w:rPr>
                <w:rFonts w:ascii="Times New Roman" w:hAnsi="Times New Roman"/>
                <w:sz w:val="15"/>
              </w:rPr>
              <w:t>Rp 11.365,93</w:t>
            </w:r>
          </w:p>
        </w:tc>
        <w:tc>
          <w:tcPr>
            <w:tcW w:type="dxa" w:w="3202"/>
            <w:vAlign w:val="center"/>
            <w:tcBorders>
              <w:top w:val="none"/>
              <w:left w:val="none"/>
              <w:bottom w:val="none"/>
              <w:right w:val="none"/>
            </w:tcBorders>
          </w:tcPr>
          <w:p>
            <w:pPr>
              <w:spacing w:after="20"/>
            </w:pPr>
            <w:r>
              <w:rPr>
                <w:rFonts w:ascii="Times New Roman" w:hAnsi="Times New Roman"/>
                <w:sz w:val="15"/>
              </w:rPr>
              <w:t>Rp 7.881,13</w:t>
            </w:r>
          </w:p>
        </w:tc>
      </w:tr>
      <w:tr>
        <w:tc>
          <w:tcPr>
            <w:tcW w:type="dxa" w:w="3202"/>
            <w:vAlign w:val="center"/>
            <w:tcBorders>
              <w:top w:val="none"/>
              <w:left w:val="none"/>
              <w:bottom w:val="none"/>
              <w:right w:val="none"/>
            </w:tcBorders>
          </w:tcPr>
          <w:p>
            <w:pPr>
              <w:spacing w:after="20"/>
            </w:pPr>
            <w:r>
              <w:rPr>
                <w:rFonts w:ascii="Times New Roman" w:hAnsi="Times New Roman"/>
                <w:sz w:val="15"/>
              </w:rPr>
              <w:t>Median Nilai Order</w:t>
            </w:r>
          </w:p>
        </w:tc>
        <w:tc>
          <w:tcPr>
            <w:tcW w:type="dxa" w:w="3202"/>
            <w:vAlign w:val="center"/>
            <w:tcBorders>
              <w:top w:val="none"/>
              <w:left w:val="none"/>
              <w:bottom w:val="none"/>
              <w:right w:val="none"/>
            </w:tcBorders>
          </w:tcPr>
          <w:p>
            <w:pPr>
              <w:spacing w:after="20"/>
            </w:pPr>
            <w:r>
              <w:rPr>
                <w:rFonts w:ascii="Times New Roman" w:hAnsi="Times New Roman"/>
                <w:sz w:val="15"/>
              </w:rPr>
              <w:t>Rp 1.000,00</w:t>
            </w:r>
          </w:p>
        </w:tc>
        <w:tc>
          <w:tcPr>
            <w:tcW w:type="dxa" w:w="3202"/>
            <w:vAlign w:val="center"/>
            <w:tcBorders>
              <w:top w:val="none"/>
              <w:left w:val="none"/>
              <w:bottom w:val="none"/>
              <w:right w:val="none"/>
            </w:tcBorders>
          </w:tcPr>
          <w:p>
            <w:pPr>
              <w:spacing w:after="20"/>
            </w:pPr>
            <w:r>
              <w:rPr>
                <w:rFonts w:ascii="Times New Roman" w:hAnsi="Times New Roman"/>
                <w:sz w:val="15"/>
              </w:rPr>
              <w:t>Rp 1.450,00</w:t>
            </w:r>
          </w:p>
        </w:tc>
      </w:tr>
      <w:tr>
        <w:tc>
          <w:tcPr>
            <w:tcW w:type="dxa" w:w="3202"/>
            <w:vAlign w:val="center"/>
            <w:tcBorders>
              <w:top w:val="none"/>
              <w:left w:val="none"/>
              <w:bottom w:val="single" w:sz="8" w:space="0" w:color="000000"/>
              <w:right w:val="none"/>
            </w:tcBorders>
          </w:tcPr>
          <w:p>
            <w:pPr>
              <w:spacing w:after="20"/>
            </w:pPr>
            <w:r>
              <w:rPr>
                <w:rFonts w:ascii="Times New Roman" w:hAnsi="Times New Roman"/>
                <w:sz w:val="15"/>
              </w:rPr>
              <w:t>Rata-rata Waktu Tunggu</w:t>
            </w:r>
          </w:p>
        </w:tc>
        <w:tc>
          <w:tcPr>
            <w:tcW w:type="dxa" w:w="3202"/>
            <w:vAlign w:val="center"/>
            <w:tcBorders>
              <w:top w:val="none"/>
              <w:left w:val="none"/>
              <w:bottom w:val="single" w:sz="8" w:space="0" w:color="000000"/>
              <w:right w:val="none"/>
            </w:tcBorders>
          </w:tcPr>
          <w:p>
            <w:pPr>
              <w:spacing w:after="20"/>
            </w:pPr>
            <w:r>
              <w:rPr>
                <w:rFonts w:ascii="Times New Roman" w:hAnsi="Times New Roman"/>
                <w:sz w:val="15"/>
              </w:rPr>
              <w:t>233,91 Menit</w:t>
            </w:r>
          </w:p>
        </w:tc>
        <w:tc>
          <w:tcPr>
            <w:tcW w:type="dxa" w:w="3202"/>
            <w:vAlign w:val="center"/>
            <w:tcBorders>
              <w:top w:val="none"/>
              <w:left w:val="none"/>
              <w:bottom w:val="single" w:sz="8" w:space="0" w:color="000000"/>
              <w:right w:val="none"/>
            </w:tcBorders>
          </w:tcPr>
          <w:p>
            <w:pPr>
              <w:spacing w:after="20"/>
            </w:pPr>
            <w:r>
              <w:rPr>
                <w:rFonts w:ascii="Times New Roman" w:hAnsi="Times New Roman"/>
                <w:sz w:val="15"/>
              </w:rPr>
              <w:t>214,17 Menit</w:t>
            </w:r>
          </w:p>
        </w:tc>
      </w:tr>
    </w:tbl>
    <w:p>
      <w:pPr>
        <w:spacing w:after="80" w:line="252" w:lineRule="auto"/>
        <w:ind w:firstLine="288"/>
        <w:jc w:val="both"/>
      </w:pPr>
      <w:r>
        <w:rPr>
          <w:rFonts w:ascii="Times New Roman" w:hAnsi="Times New Roman"/>
          <w:sz w:val="19"/>
        </w:rPr>
        <w:t>Sebagaimana tertera pada Tabel II, pembeli berulang mendominasi sebesar 60,94% populasi konsumen (142 dari 233 orang) dan menghasilkan 91,05% volume pesanan (926 transaksi) serta 92,62% total perputaran omzet (Rp 12,97 Juta). Hal ini menunjukkan konsentrasi Pareto yang sangat kuat, di mana keberlangsungan operasional penjual ditopang secara masif oleh retensi transaksi berulang.</w:t>
      </w:r>
    </w:p>
    <w:p>
      <w:pPr>
        <w:spacing w:before="120" w:after="40" w:line="252" w:lineRule="auto"/>
      </w:pPr>
      <w:r>
        <w:rPr>
          <w:rFonts w:ascii="Times New Roman" w:hAnsi="Times New Roman"/>
          <w:b/>
          <w:sz w:val="19"/>
        </w:rPr>
        <w:t>C. Distribusi Frekuensi Transaksi</w:t>
      </w:r>
    </w:p>
    <w:p>
      <w:pPr>
        <w:spacing w:after="80" w:line="252" w:lineRule="auto"/>
        <w:ind w:firstLine="288"/>
        <w:jc w:val="both"/>
      </w:pPr>
      <w:r>
        <w:rPr>
          <w:rFonts w:ascii="Times New Roman" w:hAnsi="Times New Roman"/>
          <w:sz w:val="19"/>
        </w:rPr>
        <w:t>Rata-rata frekuensi pembelian pada kelompok pembeli berulang adalah 6,52 transaksi per konsumen. Tabel III menyajikan stratifikasi konsumen berdasarkan kelompok frekuensi transaksi.</w:t>
      </w:r>
    </w:p>
    <w:p>
      <w:pPr>
        <w:spacing w:before="80" w:after="40"/>
        <w:jc w:val="center"/>
      </w:pPr>
      <w:r>
        <w:rPr>
          <w:rFonts w:ascii="Times New Roman" w:hAnsi="Times New Roman"/>
          <w:b/>
          <w:sz w:val="17"/>
        </w:rPr>
        <w:t>TABEL III</w:t>
        <w:br/>
        <w:t>DISTRIBUSI TIER FREKUENSI TRANSAKSI KONSUMEN</w:t>
      </w:r>
    </w:p>
    <w:tbl>
      <w:tblPr>
        <w:tblW w:type="auto" w:w="0"/>
        <w:jc w:val="center"/>
        <w:tblLook w:firstColumn="1" w:firstRow="1" w:lastColumn="0" w:lastRow="0" w:noHBand="0" w:noVBand="1" w:val="04A0"/>
      </w:tblPr>
      <w:tblGrid>
        <w:gridCol w:w="1872"/>
        <w:gridCol w:w="1296"/>
        <w:gridCol w:w="1440"/>
      </w:tblGrid>
      <w:tr>
        <w:tc>
          <w:tcPr>
            <w:tcW w:type="dxa" w:w="3202"/>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Tier Frekuensi</w:t>
            </w:r>
          </w:p>
        </w:tc>
        <w:tc>
          <w:tcPr>
            <w:tcW w:type="dxa" w:w="3202"/>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Jumlah Konsumen</w:t>
            </w:r>
          </w:p>
        </w:tc>
        <w:tc>
          <w:tcPr>
            <w:tcW w:type="dxa" w:w="3202"/>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Akumulasi Pesanan</w:t>
            </w:r>
          </w:p>
        </w:tc>
      </w:tr>
      <w:tr>
        <w:tc>
          <w:tcPr>
            <w:tcW w:type="dxa" w:w="3202"/>
            <w:vAlign w:val="center"/>
            <w:tcBorders>
              <w:top w:val="none"/>
              <w:left w:val="none"/>
              <w:bottom w:val="none"/>
              <w:right w:val="none"/>
            </w:tcBorders>
          </w:tcPr>
          <w:p>
            <w:pPr>
              <w:spacing w:after="20"/>
            </w:pPr>
            <w:r>
              <w:rPr>
                <w:rFonts w:ascii="Times New Roman" w:hAnsi="Times New Roman"/>
                <w:sz w:val="15"/>
              </w:rPr>
              <w:t>1x Transaksi (One-time)</w:t>
            </w:r>
          </w:p>
        </w:tc>
        <w:tc>
          <w:tcPr>
            <w:tcW w:type="dxa" w:w="3202"/>
            <w:vAlign w:val="center"/>
            <w:tcBorders>
              <w:top w:val="none"/>
              <w:left w:val="none"/>
              <w:bottom w:val="none"/>
              <w:right w:val="none"/>
            </w:tcBorders>
          </w:tcPr>
          <w:p>
            <w:pPr>
              <w:spacing w:after="20"/>
            </w:pPr>
            <w:r>
              <w:rPr>
                <w:rFonts w:ascii="Times New Roman" w:hAnsi="Times New Roman"/>
                <w:sz w:val="15"/>
              </w:rPr>
              <w:t>91 (39,06%)</w:t>
            </w:r>
          </w:p>
        </w:tc>
        <w:tc>
          <w:tcPr>
            <w:tcW w:type="dxa" w:w="3202"/>
            <w:vAlign w:val="center"/>
            <w:tcBorders>
              <w:top w:val="none"/>
              <w:left w:val="none"/>
              <w:bottom w:val="none"/>
              <w:right w:val="none"/>
            </w:tcBorders>
          </w:tcPr>
          <w:p>
            <w:pPr>
              <w:spacing w:after="20"/>
            </w:pPr>
            <w:r>
              <w:rPr>
                <w:rFonts w:ascii="Times New Roman" w:hAnsi="Times New Roman"/>
                <w:sz w:val="15"/>
              </w:rPr>
              <w:t>91 Pesanan</w:t>
            </w:r>
          </w:p>
        </w:tc>
      </w:tr>
      <w:tr>
        <w:tc>
          <w:tcPr>
            <w:tcW w:type="dxa" w:w="3202"/>
            <w:vAlign w:val="center"/>
            <w:tcBorders>
              <w:top w:val="none"/>
              <w:left w:val="none"/>
              <w:bottom w:val="none"/>
              <w:right w:val="none"/>
            </w:tcBorders>
          </w:tcPr>
          <w:p>
            <w:pPr>
              <w:spacing w:after="20"/>
            </w:pPr>
            <w:r>
              <w:rPr>
                <w:rFonts w:ascii="Times New Roman" w:hAnsi="Times New Roman"/>
                <w:sz w:val="15"/>
              </w:rPr>
              <w:t>2 - 5x Transaksi</w:t>
            </w:r>
          </w:p>
        </w:tc>
        <w:tc>
          <w:tcPr>
            <w:tcW w:type="dxa" w:w="3202"/>
            <w:vAlign w:val="center"/>
            <w:tcBorders>
              <w:top w:val="none"/>
              <w:left w:val="none"/>
              <w:bottom w:val="none"/>
              <w:right w:val="none"/>
            </w:tcBorders>
          </w:tcPr>
          <w:p>
            <w:pPr>
              <w:spacing w:after="20"/>
            </w:pPr>
            <w:r>
              <w:rPr>
                <w:rFonts w:ascii="Times New Roman" w:hAnsi="Times New Roman"/>
                <w:sz w:val="15"/>
              </w:rPr>
              <w:t>93 (39,91%)</w:t>
            </w:r>
          </w:p>
        </w:tc>
        <w:tc>
          <w:tcPr>
            <w:tcW w:type="dxa" w:w="3202"/>
            <w:vAlign w:val="center"/>
            <w:tcBorders>
              <w:top w:val="none"/>
              <w:left w:val="none"/>
              <w:bottom w:val="none"/>
              <w:right w:val="none"/>
            </w:tcBorders>
          </w:tcPr>
          <w:p>
            <w:pPr>
              <w:spacing w:after="20"/>
            </w:pPr>
            <w:r>
              <w:rPr>
                <w:rFonts w:ascii="Times New Roman" w:hAnsi="Times New Roman"/>
                <w:sz w:val="15"/>
              </w:rPr>
              <w:t>287 Pesanan</w:t>
            </w:r>
          </w:p>
        </w:tc>
      </w:tr>
      <w:tr>
        <w:tc>
          <w:tcPr>
            <w:tcW w:type="dxa" w:w="3202"/>
            <w:vAlign w:val="center"/>
            <w:tcBorders>
              <w:top w:val="none"/>
              <w:left w:val="none"/>
              <w:bottom w:val="none"/>
              <w:right w:val="none"/>
            </w:tcBorders>
          </w:tcPr>
          <w:p>
            <w:pPr>
              <w:spacing w:after="20"/>
            </w:pPr>
            <w:r>
              <w:rPr>
                <w:rFonts w:ascii="Times New Roman" w:hAnsi="Times New Roman"/>
                <w:sz w:val="15"/>
              </w:rPr>
              <w:t>6 - 15x Transaksi</w:t>
            </w:r>
          </w:p>
        </w:tc>
        <w:tc>
          <w:tcPr>
            <w:tcW w:type="dxa" w:w="3202"/>
            <w:vAlign w:val="center"/>
            <w:tcBorders>
              <w:top w:val="none"/>
              <w:left w:val="none"/>
              <w:bottom w:val="none"/>
              <w:right w:val="none"/>
            </w:tcBorders>
          </w:tcPr>
          <w:p>
            <w:pPr>
              <w:spacing w:after="20"/>
            </w:pPr>
            <w:r>
              <w:rPr>
                <w:rFonts w:ascii="Times New Roman" w:hAnsi="Times New Roman"/>
                <w:sz w:val="15"/>
              </w:rPr>
              <w:t>35 (15,02%)</w:t>
            </w:r>
          </w:p>
        </w:tc>
        <w:tc>
          <w:tcPr>
            <w:tcW w:type="dxa" w:w="3202"/>
            <w:vAlign w:val="center"/>
            <w:tcBorders>
              <w:top w:val="none"/>
              <w:left w:val="none"/>
              <w:bottom w:val="none"/>
              <w:right w:val="none"/>
            </w:tcBorders>
          </w:tcPr>
          <w:p>
            <w:pPr>
              <w:spacing w:after="20"/>
            </w:pPr>
            <w:r>
              <w:rPr>
                <w:rFonts w:ascii="Times New Roman" w:hAnsi="Times New Roman"/>
                <w:sz w:val="15"/>
              </w:rPr>
              <w:t>314 Pesanan</w:t>
            </w:r>
          </w:p>
        </w:tc>
      </w:tr>
      <w:tr>
        <w:tc>
          <w:tcPr>
            <w:tcW w:type="dxa" w:w="3202"/>
            <w:vAlign w:val="center"/>
            <w:tcBorders>
              <w:top w:val="none"/>
              <w:left w:val="none"/>
              <w:bottom w:val="none"/>
              <w:right w:val="none"/>
            </w:tcBorders>
          </w:tcPr>
          <w:p>
            <w:pPr>
              <w:spacing w:after="20"/>
            </w:pPr>
            <w:r>
              <w:rPr>
                <w:rFonts w:ascii="Times New Roman" w:hAnsi="Times New Roman"/>
                <w:sz w:val="15"/>
              </w:rPr>
              <w:t>16 - 50x Transaksi</w:t>
            </w:r>
          </w:p>
        </w:tc>
        <w:tc>
          <w:tcPr>
            <w:tcW w:type="dxa" w:w="3202"/>
            <w:vAlign w:val="center"/>
            <w:tcBorders>
              <w:top w:val="none"/>
              <w:left w:val="none"/>
              <w:bottom w:val="none"/>
              <w:right w:val="none"/>
            </w:tcBorders>
          </w:tcPr>
          <w:p>
            <w:pPr>
              <w:spacing w:after="20"/>
            </w:pPr>
            <w:r>
              <w:rPr>
                <w:rFonts w:ascii="Times New Roman" w:hAnsi="Times New Roman"/>
                <w:sz w:val="15"/>
              </w:rPr>
              <w:t>13 (5,58%)</w:t>
            </w:r>
          </w:p>
        </w:tc>
        <w:tc>
          <w:tcPr>
            <w:tcW w:type="dxa" w:w="3202"/>
            <w:vAlign w:val="center"/>
            <w:tcBorders>
              <w:top w:val="none"/>
              <w:left w:val="none"/>
              <w:bottom w:val="none"/>
              <w:right w:val="none"/>
            </w:tcBorders>
          </w:tcPr>
          <w:p>
            <w:pPr>
              <w:spacing w:after="20"/>
            </w:pPr>
            <w:r>
              <w:rPr>
                <w:rFonts w:ascii="Times New Roman" w:hAnsi="Times New Roman"/>
                <w:sz w:val="15"/>
              </w:rPr>
              <w:t>423 Pesanan</w:t>
            </w:r>
          </w:p>
        </w:tc>
      </w:tr>
      <w:tr>
        <w:tc>
          <w:tcPr>
            <w:tcW w:type="dxa" w:w="3202"/>
            <w:vAlign w:val="center"/>
            <w:tcBorders>
              <w:top w:val="none"/>
              <w:left w:val="none"/>
              <w:bottom w:val="single" w:sz="8" w:space="0" w:color="000000"/>
              <w:right w:val="none"/>
            </w:tcBorders>
          </w:tcPr>
          <w:p>
            <w:pPr>
              <w:spacing w:after="20"/>
            </w:pPr>
            <w:r>
              <w:rPr>
                <w:rFonts w:ascii="Times New Roman" w:hAnsi="Times New Roman"/>
                <w:sz w:val="15"/>
              </w:rPr>
              <w:t>&gt; 50x Transaksi (Power)</w:t>
            </w:r>
          </w:p>
        </w:tc>
        <w:tc>
          <w:tcPr>
            <w:tcW w:type="dxa" w:w="3202"/>
            <w:vAlign w:val="center"/>
            <w:tcBorders>
              <w:top w:val="none"/>
              <w:left w:val="none"/>
              <w:bottom w:val="single" w:sz="8" w:space="0" w:color="000000"/>
              <w:right w:val="none"/>
            </w:tcBorders>
          </w:tcPr>
          <w:p>
            <w:pPr>
              <w:spacing w:after="20"/>
            </w:pPr>
            <w:r>
              <w:rPr>
                <w:rFonts w:ascii="Times New Roman" w:hAnsi="Times New Roman"/>
                <w:sz w:val="15"/>
              </w:rPr>
              <w:t>1 (0,43%)</w:t>
            </w:r>
          </w:p>
        </w:tc>
        <w:tc>
          <w:tcPr>
            <w:tcW w:type="dxa" w:w="3202"/>
            <w:vAlign w:val="center"/>
            <w:tcBorders>
              <w:top w:val="none"/>
              <w:left w:val="none"/>
              <w:bottom w:val="single" w:sz="8" w:space="0" w:color="000000"/>
              <w:right w:val="none"/>
            </w:tcBorders>
          </w:tcPr>
          <w:p>
            <w:pPr>
              <w:spacing w:after="20"/>
            </w:pPr>
            <w:r>
              <w:rPr>
                <w:rFonts w:ascii="Times New Roman" w:hAnsi="Times New Roman"/>
                <w:sz w:val="15"/>
              </w:rPr>
              <w:t>102 Pesanan</w:t>
            </w:r>
          </w:p>
        </w:tc>
      </w:tr>
    </w:tbl>
    <w:p>
      <w:pPr>
        <w:spacing w:after="80" w:line="252" w:lineRule="auto"/>
        <w:ind w:firstLine="288"/>
        <w:jc w:val="both"/>
      </w:pPr>
      <w:r>
        <w:rPr>
          <w:rFonts w:ascii="Times New Roman" w:hAnsi="Times New Roman"/>
          <w:sz w:val="19"/>
        </w:rPr>
        <w:t>Tabel III memperlihatkan bahwa 14 konsumen teratas (6,01% total konsumen) menghasilkan 525 transaksi (51,62% total transaksi toko). Frekuensi tertinggi tercatat pada konsumen Sam Shears dengan 102 kali transaksi (total belanja Rp 4.197.500), diikuti Lynn geasley sebanyak 50 kali (Rp 1.018.300), dan betty murakami sebanyak 33 kali.</w:t>
      </w:r>
    </w:p>
    <w:p>
      <w:pPr>
        <w:spacing w:before="120" w:after="40" w:line="252" w:lineRule="auto"/>
      </w:pPr>
      <w:r>
        <w:rPr>
          <w:rFonts w:ascii="Times New Roman" w:hAnsi="Times New Roman"/>
          <w:b/>
          <w:sz w:val="19"/>
        </w:rPr>
        <w:t>D. Distribusi Interval Waktu Pembelian Ulang</w:t>
      </w:r>
    </w:p>
    <w:p>
      <w:pPr>
        <w:spacing w:after="80" w:line="252" w:lineRule="auto"/>
        <w:ind w:firstLine="288"/>
        <w:jc w:val="both"/>
      </w:pPr>
      <w:r>
        <w:rPr>
          <w:rFonts w:ascii="Times New Roman" w:hAnsi="Times New Roman"/>
          <w:sz w:val="19"/>
        </w:rPr>
        <w:t>Pengukuran jarak waktu antar-pesanan pada 784 pasangan transaksi berulang berurutan disajikan pada Tabel IV.</w:t>
      </w:r>
    </w:p>
    <w:p>
      <w:pPr>
        <w:spacing w:before="80" w:after="40"/>
        <w:jc w:val="center"/>
      </w:pPr>
      <w:r>
        <w:rPr>
          <w:rFonts w:ascii="Times New Roman" w:hAnsi="Times New Roman"/>
          <w:b/>
          <w:sz w:val="17"/>
        </w:rPr>
        <w:t>TABEL IV</w:t>
        <w:br/>
        <w:t>STATISTIK INTERVAL PEMBELIAN ULANG</w:t>
      </w:r>
    </w:p>
    <w:tbl>
      <w:tblPr>
        <w:tblW w:type="auto" w:w="0"/>
        <w:jc w:val="center"/>
        <w:tblLook w:firstColumn="1" w:firstRow="1" w:lastColumn="0" w:lastRow="0" w:noHBand="0" w:noVBand="1" w:val="04A0"/>
      </w:tblPr>
      <w:tblGrid>
        <w:gridCol w:w="2592"/>
        <w:gridCol w:w="2016"/>
      </w:tblGrid>
      <w:tr>
        <w:tc>
          <w:tcPr>
            <w:tcW w:type="dxa" w:w="4802"/>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Parameter Statistik</w:t>
            </w:r>
          </w:p>
        </w:tc>
        <w:tc>
          <w:tcPr>
            <w:tcW w:type="dxa" w:w="4802"/>
            <w:vAlign w:val="center"/>
            <w:shd w:fill="F2F2F2"/>
            <w:tcBorders>
              <w:top w:val="single" w:sz="8" w:space="0" w:color="000000"/>
              <w:left w:val="none"/>
              <w:bottom w:val="single" w:sz="6" w:space="0" w:color="000000"/>
              <w:right w:val="none"/>
            </w:tcBorders>
          </w:tcPr>
          <w:p>
            <w:pPr>
              <w:spacing w:after="20"/>
            </w:pPr>
            <w:r>
              <w:rPr>
                <w:rFonts w:ascii="Times New Roman" w:hAnsi="Times New Roman"/>
                <w:b/>
                <w:sz w:val="16"/>
              </w:rPr>
              <w:t>Nilai Interval (Hari &amp; Jam)</w:t>
            </w:r>
          </w:p>
        </w:tc>
      </w:tr>
      <w:tr>
        <w:tc>
          <w:tcPr>
            <w:tcW w:type="dxa" w:w="4802"/>
            <w:vAlign w:val="center"/>
            <w:tcBorders>
              <w:top w:val="none"/>
              <w:left w:val="none"/>
              <w:bottom w:val="none"/>
              <w:right w:val="none"/>
            </w:tcBorders>
          </w:tcPr>
          <w:p>
            <w:pPr>
              <w:spacing w:after="20"/>
            </w:pPr>
            <w:r>
              <w:rPr>
                <w:rFonts w:ascii="Times New Roman" w:hAnsi="Times New Roman"/>
                <w:sz w:val="15"/>
              </w:rPr>
              <w:t>Jumlah Pasangan Transaksi (N)</w:t>
            </w:r>
          </w:p>
        </w:tc>
        <w:tc>
          <w:tcPr>
            <w:tcW w:type="dxa" w:w="4802"/>
            <w:vAlign w:val="center"/>
            <w:tcBorders>
              <w:top w:val="none"/>
              <w:left w:val="none"/>
              <w:bottom w:val="none"/>
              <w:right w:val="none"/>
            </w:tcBorders>
          </w:tcPr>
          <w:p>
            <w:pPr>
              <w:spacing w:after="20"/>
            </w:pPr>
            <w:r>
              <w:rPr>
                <w:rFonts w:ascii="Times New Roman" w:hAnsi="Times New Roman"/>
                <w:sz w:val="15"/>
              </w:rPr>
              <w:t>784 Interval</w:t>
            </w:r>
          </w:p>
        </w:tc>
      </w:tr>
      <w:tr>
        <w:tc>
          <w:tcPr>
            <w:tcW w:type="dxa" w:w="4802"/>
            <w:vAlign w:val="center"/>
            <w:tcBorders>
              <w:top w:val="none"/>
              <w:left w:val="none"/>
              <w:bottom w:val="none"/>
              <w:right w:val="none"/>
            </w:tcBorders>
          </w:tcPr>
          <w:p>
            <w:pPr>
              <w:spacing w:after="20"/>
            </w:pPr>
            <w:r>
              <w:rPr>
                <w:rFonts w:ascii="Times New Roman" w:hAnsi="Times New Roman"/>
                <w:sz w:val="15"/>
              </w:rPr>
              <w:t>Rata-rata (Mean)</w:t>
            </w:r>
          </w:p>
        </w:tc>
        <w:tc>
          <w:tcPr>
            <w:tcW w:type="dxa" w:w="4802"/>
            <w:vAlign w:val="center"/>
            <w:tcBorders>
              <w:top w:val="none"/>
              <w:left w:val="none"/>
              <w:bottom w:val="none"/>
              <w:right w:val="none"/>
            </w:tcBorders>
          </w:tcPr>
          <w:p>
            <w:pPr>
              <w:spacing w:after="20"/>
            </w:pPr>
            <w:r>
              <w:rPr>
                <w:rFonts w:ascii="Times New Roman" w:hAnsi="Times New Roman"/>
                <w:sz w:val="15"/>
              </w:rPr>
              <w:t>1,31 Hari (~31,44 Jam)</w:t>
            </w:r>
          </w:p>
        </w:tc>
      </w:tr>
      <w:tr>
        <w:tc>
          <w:tcPr>
            <w:tcW w:type="dxa" w:w="4802"/>
            <w:vAlign w:val="center"/>
            <w:tcBorders>
              <w:top w:val="none"/>
              <w:left w:val="none"/>
              <w:bottom w:val="none"/>
              <w:right w:val="none"/>
            </w:tcBorders>
          </w:tcPr>
          <w:p>
            <w:pPr>
              <w:spacing w:after="20"/>
            </w:pPr>
            <w:r>
              <w:rPr>
                <w:rFonts w:ascii="Times New Roman" w:hAnsi="Times New Roman"/>
                <w:sz w:val="15"/>
              </w:rPr>
              <w:t>Median (Q2)</w:t>
            </w:r>
          </w:p>
        </w:tc>
        <w:tc>
          <w:tcPr>
            <w:tcW w:type="dxa" w:w="4802"/>
            <w:vAlign w:val="center"/>
            <w:tcBorders>
              <w:top w:val="none"/>
              <w:left w:val="none"/>
              <w:bottom w:val="none"/>
              <w:right w:val="none"/>
            </w:tcBorders>
          </w:tcPr>
          <w:p>
            <w:pPr>
              <w:spacing w:after="20"/>
            </w:pPr>
            <w:r>
              <w:rPr>
                <w:rFonts w:ascii="Times New Roman" w:hAnsi="Times New Roman"/>
                <w:sz w:val="15"/>
              </w:rPr>
              <w:t>0,00 Hari (&lt; 1 Jam / Hari sama)</w:t>
            </w:r>
          </w:p>
        </w:tc>
      </w:tr>
      <w:tr>
        <w:tc>
          <w:tcPr>
            <w:tcW w:type="dxa" w:w="4802"/>
            <w:vAlign w:val="center"/>
            <w:tcBorders>
              <w:top w:val="none"/>
              <w:left w:val="none"/>
              <w:bottom w:val="none"/>
              <w:right w:val="none"/>
            </w:tcBorders>
          </w:tcPr>
          <w:p>
            <w:pPr>
              <w:spacing w:after="20"/>
            </w:pPr>
            <w:r>
              <w:rPr>
                <w:rFonts w:ascii="Times New Roman" w:hAnsi="Times New Roman"/>
                <w:sz w:val="15"/>
              </w:rPr>
              <w:t>Kuartil Bawah (Q1 - 25%)</w:t>
            </w:r>
          </w:p>
        </w:tc>
        <w:tc>
          <w:tcPr>
            <w:tcW w:type="dxa" w:w="4802"/>
            <w:vAlign w:val="center"/>
            <w:tcBorders>
              <w:top w:val="none"/>
              <w:left w:val="none"/>
              <w:bottom w:val="none"/>
              <w:right w:val="none"/>
            </w:tcBorders>
          </w:tcPr>
          <w:p>
            <w:pPr>
              <w:spacing w:after="20"/>
            </w:pPr>
            <w:r>
              <w:rPr>
                <w:rFonts w:ascii="Times New Roman" w:hAnsi="Times New Roman"/>
                <w:sz w:val="15"/>
              </w:rPr>
              <w:t>0,00 Hari (Seketika)</w:t>
            </w:r>
          </w:p>
        </w:tc>
      </w:tr>
      <w:tr>
        <w:tc>
          <w:tcPr>
            <w:tcW w:type="dxa" w:w="4802"/>
            <w:vAlign w:val="center"/>
            <w:tcBorders>
              <w:top w:val="none"/>
              <w:left w:val="none"/>
              <w:bottom w:val="none"/>
              <w:right w:val="none"/>
            </w:tcBorders>
          </w:tcPr>
          <w:p>
            <w:pPr>
              <w:spacing w:after="20"/>
            </w:pPr>
            <w:r>
              <w:rPr>
                <w:rFonts w:ascii="Times New Roman" w:hAnsi="Times New Roman"/>
                <w:sz w:val="15"/>
              </w:rPr>
              <w:t>Kuartil Atas (Q3 - 75%)</w:t>
            </w:r>
          </w:p>
        </w:tc>
        <w:tc>
          <w:tcPr>
            <w:tcW w:type="dxa" w:w="4802"/>
            <w:vAlign w:val="center"/>
            <w:tcBorders>
              <w:top w:val="none"/>
              <w:left w:val="none"/>
              <w:bottom w:val="none"/>
              <w:right w:val="none"/>
            </w:tcBorders>
          </w:tcPr>
          <w:p>
            <w:pPr>
              <w:spacing w:after="20"/>
            </w:pPr>
            <w:r>
              <w:rPr>
                <w:rFonts w:ascii="Times New Roman" w:hAnsi="Times New Roman"/>
                <w:sz w:val="15"/>
              </w:rPr>
              <w:t>0,65 Hari (~15,60 Jam)</w:t>
            </w:r>
          </w:p>
        </w:tc>
      </w:tr>
      <w:tr>
        <w:tc>
          <w:tcPr>
            <w:tcW w:type="dxa" w:w="4802"/>
            <w:vAlign w:val="center"/>
            <w:tcBorders>
              <w:top w:val="none"/>
              <w:left w:val="none"/>
              <w:bottom w:val="single" w:sz="8" w:space="0" w:color="000000"/>
              <w:right w:val="none"/>
            </w:tcBorders>
          </w:tcPr>
          <w:p>
            <w:pPr>
              <w:spacing w:after="20"/>
            </w:pPr>
            <w:r>
              <w:rPr>
                <w:rFonts w:ascii="Times New Roman" w:hAnsi="Times New Roman"/>
                <w:sz w:val="15"/>
              </w:rPr>
              <w:t>Interval Maksimum</w:t>
            </w:r>
          </w:p>
        </w:tc>
        <w:tc>
          <w:tcPr>
            <w:tcW w:type="dxa" w:w="4802"/>
            <w:vAlign w:val="center"/>
            <w:tcBorders>
              <w:top w:val="none"/>
              <w:left w:val="none"/>
              <w:bottom w:val="single" w:sz="8" w:space="0" w:color="000000"/>
              <w:right w:val="none"/>
            </w:tcBorders>
          </w:tcPr>
          <w:p>
            <w:pPr>
              <w:spacing w:after="20"/>
            </w:pPr>
            <w:r>
              <w:rPr>
                <w:rFonts w:ascii="Times New Roman" w:hAnsi="Times New Roman"/>
                <w:sz w:val="15"/>
              </w:rPr>
              <w:t>49,77 Hari (~1.194,5 Jam)</w:t>
            </w:r>
          </w:p>
        </w:tc>
      </w:tr>
    </w:tbl>
    <w:p>
      <w:pPr>
        <w:spacing w:after="80" w:line="252" w:lineRule="auto"/>
        <w:ind w:firstLine="288"/>
        <w:jc w:val="both"/>
      </w:pPr>
      <w:r>
        <w:rPr>
          <w:rFonts w:ascii="Times New Roman" w:hAnsi="Times New Roman"/>
          <w:sz w:val="19"/>
        </w:rPr>
        <w:t>Distribusi interval pada Tabel IV menunjukkan sifat zero-inflated yang sangat pekat: median interval bernilai 0,00 hari dan 75% pesanan ulang terjadi dalam rentang waktu kurang dari 15,60 jam (Q3 = 0,65 hari). Hal ini membuktikan bahwa transaksi berulang terjadi secara rapat dalam sesi bermain aktif yang sama.</w:t>
      </w:r>
    </w:p>
    <w:p>
      <w:pPr>
        <w:spacing w:before="120" w:after="40" w:line="252" w:lineRule="auto"/>
      </w:pPr>
      <w:r>
        <w:rPr>
          <w:rFonts w:ascii="Times New Roman" w:hAnsi="Times New Roman"/>
          <w:b/>
          <w:sz w:val="19"/>
        </w:rPr>
        <w:t>E. Pembahasan</w:t>
      </w:r>
    </w:p>
    <w:p>
      <w:pPr>
        <w:spacing w:after="80" w:line="252" w:lineRule="auto"/>
        <w:ind w:firstLine="288"/>
        <w:jc w:val="both"/>
      </w:pPr>
      <w:r>
        <w:rPr>
          <w:rFonts w:ascii="Times New Roman" w:hAnsi="Times New Roman"/>
          <w:sz w:val="19"/>
        </w:rPr>
        <w:t>Temuan empiris ini memberikan wawasan penting bagi sistem informasi dan analitika perilaku konsumen digital:</w:t>
        <w:br/>
        <w:t>1. Pola Pembelian Terikat Sesi Bermain: Transaksi berulang pada barang virtual Roblox bersifat rapid snacking micro-purchases, di mana keputusan membeli kembali muncul dalam hitungan jam saat pemain membutuhkan progresivitas instan di dalam game.</w:t>
        <w:br/>
        <w:t>2. Karakteristik Toleransi Waktu Layanan: Tingginya retensi pembeli (60,94%) tetap bertahan meski rata-rata waktu pemrosesan mencapai 3,57 jam. Pada pasar barang digital sekunder, kepastian pengiriman dan keandalan toko menjadi parameter yang mengimbangi waktu tunggu non-instan.</w:t>
        <w:br/>
        <w:t>3. Konteks Strategi Operasional: Praktik penjual yang kerap menyertakan bonus item saat terjadi penyesuaian layanan berfungsi sebagai stimulus pengikat (lock-in mechanism) yang memperkuat hubungan transaksional.</w:t>
      </w:r>
    </w:p>
    <w:p>
      <w:pPr>
        <w:spacing w:before="200" w:after="60" w:line="252" w:lineRule="auto"/>
      </w:pPr>
      <w:r>
        <w:rPr>
          <w:rFonts w:ascii="Times New Roman" w:hAnsi="Times New Roman"/>
          <w:b/>
          <w:sz w:val="20"/>
        </w:rPr>
        <w:t>IV. KESIMPULAN</w:t>
      </w:r>
    </w:p>
    <w:p>
      <w:pPr>
        <w:spacing w:after="80" w:line="252" w:lineRule="auto"/>
        <w:ind w:firstLine="288"/>
        <w:jc w:val="both"/>
      </w:pPr>
      <w:r>
        <w:rPr>
          <w:rFonts w:ascii="Times New Roman" w:hAnsi="Times New Roman"/>
          <w:sz w:val="19"/>
        </w:rPr>
        <w:t>Penelitian ini menyimpulkan bahwa perilaku pembelian berulang pada marketplace barang virtual Roblox ditandai oleh konsentrasi pendapatan yang sangat tinggi pada segmen pembeli berulang (92,62%), nilai transaksi rata-rata yang bersifat mikro, dan interval waktu antar-pembelian yang sangat singkat (75% terjadi dalam waktu &lt; 15,60 jam pada sesi bermain aktif yang sama).</w:t>
      </w:r>
    </w:p>
    <w:p>
      <w:pPr>
        <w:spacing w:after="80" w:line="252" w:lineRule="auto"/>
        <w:ind w:firstLine="288"/>
        <w:jc w:val="both"/>
      </w:pPr>
      <w:r>
        <w:rPr>
          <w:rFonts w:ascii="Times New Roman" w:hAnsi="Times New Roman"/>
          <w:sz w:val="19"/>
        </w:rPr>
        <w:t>Implikasi Praktis dan Sistem: Pengembang sistem informasi e-commerce dan penjual mikro perlu menyelaraskan ketersediaan layanan pada jam-jam puncak bermain game (malam hari) guna menangkap aliran transaksi mikro beruntun dari konsumen loyal.</w:t>
      </w:r>
    </w:p>
    <w:p>
      <w:pPr>
        <w:spacing w:after="80" w:line="252" w:lineRule="auto"/>
        <w:ind w:firstLine="288"/>
        <w:jc w:val="both"/>
      </w:pPr>
      <w:r>
        <w:rPr>
          <w:rFonts w:ascii="Times New Roman" w:hAnsi="Times New Roman"/>
          <w:sz w:val="19"/>
        </w:rPr>
        <w:t>Keterbatasan dan Saran: Penelitian ini dibatasi oleh penggunaan data observasional tunggal tanpa pengukuran langsung variabel psikologis batin pembeli. Penelitian selanjutnya disarankan untuk mengintegrasikan data log transaksi dengan instrumen survei kepuasan guna mengukur korelasi persepsi nilai secara komprehensif.</w:t>
      </w:r>
    </w:p>
    <w:p>
      <w:pPr>
        <w:spacing w:before="200" w:after="60" w:line="252" w:lineRule="auto"/>
      </w:pPr>
      <w:r>
        <w:rPr>
          <w:rFonts w:ascii="Times New Roman" w:hAnsi="Times New Roman"/>
          <w:b/>
          <w:sz w:val="20"/>
        </w:rPr>
        <w:t>DAFTAR PUSTAKA</w:t>
      </w:r>
    </w:p>
    <w:p>
      <w:pPr>
        <w:spacing w:after="40" w:line="252" w:lineRule="auto"/>
        <w:ind w:left="288" w:hanging="288"/>
      </w:pPr>
      <w:r>
        <w:rPr>
          <w:rFonts w:ascii="Times New Roman" w:hAnsi="Times New Roman"/>
          <w:sz w:val="17"/>
        </w:rPr>
        <w:t>[1] J. Hamari and V. Lehdonvirta, "Game design as marketing: How game mechanics create demand for virtual goods," Int. J. Bus. Sci. Appl. Manag., vol. 5, no. 1, pp. 14-29, 2010.</w:t>
      </w:r>
    </w:p>
    <w:p>
      <w:pPr>
        <w:spacing w:after="40" w:line="252" w:lineRule="auto"/>
        <w:ind w:left="288" w:hanging="288"/>
      </w:pPr>
      <w:r>
        <w:rPr>
          <w:rFonts w:ascii="Times New Roman" w:hAnsi="Times New Roman"/>
          <w:sz w:val="17"/>
        </w:rPr>
        <w:t>[2] V. Lehdonvirta, "Virtual item sales as a revenue model: Identifying attributes that drive purchase decisions," Electron. Commer. Res., vol. 9, no. 1-2, pp. 97-113, 2009.</w:t>
      </w:r>
    </w:p>
    <w:p>
      <w:pPr>
        <w:spacing w:after="40" w:line="252" w:lineRule="auto"/>
        <w:ind w:left="288" w:hanging="288"/>
      </w:pPr>
      <w:r>
        <w:rPr>
          <w:rFonts w:ascii="Times New Roman" w:hAnsi="Times New Roman"/>
          <w:sz w:val="17"/>
        </w:rPr>
        <w:t>[3] P. S. Fader, B. G. Hardie, and K. L. Lee, "RFM and CLV: Using iso-value curves for customer base analysis," J. Mark. Res., vol. 42, no. 4, pp. 415-430, 2005.</w:t>
      </w:r>
    </w:p>
    <w:p>
      <w:pPr>
        <w:spacing w:after="40" w:line="252" w:lineRule="auto"/>
        <w:ind w:left="288" w:hanging="288"/>
      </w:pPr>
      <w:r>
        <w:rPr>
          <w:rFonts w:ascii="Times New Roman" w:hAnsi="Times New Roman"/>
          <w:sz w:val="17"/>
        </w:rPr>
        <w:t>[4] P. K. Hellier, G. M. Geursen, R. A. Carr, and J. A. Rickard, "Customer repurchase intention: A general structural equation model," Eur. J. Mark., vol. 37, no. 11/12, pp. 1762-1800, 2003.</w:t>
      </w:r>
    </w:p>
    <w:p>
      <w:pPr>
        <w:spacing w:after="40" w:line="252" w:lineRule="auto"/>
        <w:ind w:left="288" w:hanging="288"/>
      </w:pPr>
      <w:r>
        <w:rPr>
          <w:rFonts w:ascii="Times New Roman" w:hAnsi="Times New Roman"/>
          <w:sz w:val="17"/>
        </w:rPr>
        <w:t>[5] P. K. Chintagunta, J. Chu, and J. Cebollada, "Quantifying transaction costs in online/off-line grocery channel choice," Mark. Sci., vol. 31, no. 1, pp. 96-114, 2012.</w:t>
      </w:r>
    </w:p>
    <w:p>
      <w:pPr>
        <w:spacing w:after="40" w:line="252" w:lineRule="auto"/>
        <w:ind w:left="288" w:hanging="288"/>
      </w:pPr>
      <w:r>
        <w:rPr>
          <w:rFonts w:ascii="Times New Roman" w:hAnsi="Times New Roman"/>
          <w:sz w:val="17"/>
        </w:rPr>
        <w:t>[6] J. A. Fairfield, "Virtual property," Boston Univ. Law Rev., vol. 85, pp. 1047-1102, 2005.</w:t>
      </w:r>
    </w:p>
    <w:p>
      <w:pPr>
        <w:spacing w:after="40" w:line="252" w:lineRule="auto"/>
        <w:ind w:left="288" w:hanging="288"/>
      </w:pPr>
      <w:r>
        <w:rPr>
          <w:rFonts w:ascii="Times New Roman" w:hAnsi="Times New Roman"/>
          <w:sz w:val="17"/>
        </w:rPr>
        <w:t>[7] J. Hamari, "Why do people buy virtual goods? Attitude towards virtual good purchases versus purchase intention," Int. J. Inf. Manage., vol. 35, no. 3, pp. 299-308, 2015.</w:t>
      </w:r>
    </w:p>
    <w:p>
      <w:pPr>
        <w:spacing w:after="40" w:line="252" w:lineRule="auto"/>
        <w:ind w:left="288" w:hanging="288"/>
      </w:pPr>
      <w:r>
        <w:rPr>
          <w:rFonts w:ascii="Times New Roman" w:hAnsi="Times New Roman"/>
          <w:sz w:val="17"/>
        </w:rPr>
        <w:t>[8] R. L. Oliver, "Whence consumer loyalty?," J. Mark., vol. 63, no. 4_suppl1, pp. 33-44, 1999.</w:t>
      </w:r>
    </w:p>
    <w:sectPr w:rsidR="00FC693F" w:rsidRPr="0006063C" w:rsidSect="00034616">
      <w:pgSz w:w="11909" w:h="16834"/>
      <w:pgMar w:top="1152" w:right="1152" w:bottom="1152" w:left="1152" w:header="720" w:footer="720" w:gutter="0"/>
      <w:docGrid w:linePitch="360"/>
      <w:type w:val="continuous"/>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i/>
        <w:color w:val="646464"/>
        <w:sz w:val="17"/>
      </w:rPr>
      <w:t>Jurnal Sisfokom (Sistem Informasi dan Komputer), Volume 15, Nomor 03, 2026</w:t>
      <w:br/>
      <w:t>p-ISSN: 2301-7988, e-ISSN: 2581-0588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