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0000"/>
          <w:sz w:val="28"/>
        </w:rPr>
        <w:t>DOKUMEN LAMPIRAN BUKTI DATA DAN LOG EKSPERIMEN</w:t>
      </w:r>
    </w:p>
    <w:p>
      <w:pPr>
        <w:spacing w:before="0" w:after="240"/>
        <w:jc w:val="center"/>
      </w:pPr>
      <w:r>
        <w:rPr>
          <w:rFonts w:ascii="Times New Roman" w:hAnsi="Times New Roman"/>
          <w:i/>
          <w:color w:val="000000"/>
          <w:sz w:val="22"/>
        </w:rPr>
        <w:t>Mendukung Naskah: Algorithms and Web Architecture for Lightweight Multiplayer Archipelago Monopoly Game Engine</w:t>
        <w:br/>
        <w:t>Jurnal SinkrOn: Jurnal dan Penelitian Teknik Informatika (SINTA 3)</w:t>
      </w:r>
    </w:p>
    <w:p>
      <w:pPr>
        <w:spacing w:line="276" w:lineRule="auto" w:after="120"/>
        <w:jc w:val="both"/>
      </w:pPr>
      <w:r>
        <w:rPr>
          <w:rFonts w:ascii="Times New Roman" w:hAnsi="Times New Roman"/>
          <w:color w:val="000000"/>
          <w:sz w:val="22"/>
        </w:rPr>
        <w:t>Dokumen lampiran ini menyajikan rekapitulasi data empiris mentah (raw experimental datasets) dan catatan log teknis pengujian yang mendasari hasil eksperimen pada Tabel 5 dan Tabel 6 di dalam artikel revisi. Seluruh data mentah per baris (berformat .CSV dan .XLSX) telah diarsipkan secara transparan dan dapat diverifikasi secara independen.</w:t>
      </w:r>
    </w:p>
    <w:p>
      <w:pPr>
        <w:keepNext/>
        <w:spacing w:before="280" w:after="80"/>
      </w:pPr>
      <w:r>
        <w:rPr>
          <w:rFonts w:ascii="Times New Roman" w:hAnsi="Times New Roman"/>
          <w:b/>
          <w:color w:val="000000"/>
          <w:sz w:val="24"/>
        </w:rPr>
        <w:t>1. Bukti Data Simulasi Multi-Agent Monte Carlo (N = 400 Pertandingan)</w:t>
      </w:r>
    </w:p>
    <w:p>
      <w:pPr>
        <w:spacing w:line="276" w:lineRule="auto" w:after="120"/>
        <w:jc w:val="both"/>
      </w:pPr>
      <w:r>
        <w:rPr>
          <w:rFonts w:ascii="Times New Roman" w:hAnsi="Times New Roman"/>
          <w:color w:val="000000"/>
          <w:sz w:val="22"/>
        </w:rPr>
        <w:t>Untuk mengevaluasi performa kecerdasan buatan secara adil tanpa adanya bias giliran awal (first-mover advantage), dilakukan simulasi sebanyak 400 pertandingan terkontrol. Setiap pertandingan menerapkan rotasi kursi siklik berimbang (balanced seat rotation) dengan 100 pertandingan untuk setiap permutasi urutan kursi, serta menggunakan pembangkit bilangan acak (random seed) terisolasi (Seed 1001 s.d. 1400).</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2592"/>
            <w:vAlign w:val="center"/>
            <w:shd w:val="clear" w:color="auto" w:fill="F2F2F2"/>
            <w:tcBorders>
              <w:top w:val="single" w:sz="8" w:space="0" w:color="000000"/>
              <w:bottom w:val="single" w:sz="8" w:space="0" w:color="000000"/>
              <w:left w:val="none"/>
              <w:right w:val="none"/>
            </w:tcBorders>
          </w:tcPr>
          <w:p>
            <w:pPr>
              <w:spacing w:line="240" w:lineRule="auto" w:before="40" w:after="40"/>
              <w:jc w:val="left"/>
            </w:pPr>
            <w:r>
              <w:rPr>
                <w:rFonts w:ascii="Times New Roman" w:hAnsi="Times New Roman"/>
                <w:b/>
                <w:color w:val="000000"/>
                <w:sz w:val="20"/>
              </w:rPr>
              <w:t>Strategi Agen AI</w:t>
            </w:r>
          </w:p>
        </w:tc>
        <w:tc>
          <w:tcPr>
            <w:tcW w:type="dxa" w:w="1296"/>
            <w:vAlign w:val="center"/>
            <w:shd w:val="clear" w:color="auto" w:fill="F2F2F2"/>
            <w:tcBorders>
              <w:top w:val="single" w:sz="8" w:space="0" w:color="000000"/>
              <w:bottom w:val="single" w:sz="8" w:space="0" w:color="000000"/>
              <w:left w:val="none"/>
              <w:right w:val="none"/>
            </w:tcBorders>
          </w:tcPr>
          <w:p>
            <w:pPr>
              <w:spacing w:line="240" w:lineRule="auto" w:before="40" w:after="40"/>
              <w:jc w:val="center"/>
            </w:pPr>
            <w:r>
              <w:rPr>
                <w:rFonts w:ascii="Times New Roman" w:hAnsi="Times New Roman"/>
                <w:b/>
                <w:color w:val="000000"/>
                <w:sz w:val="20"/>
              </w:rPr>
              <w:t>Kemenangan</w:t>
            </w:r>
          </w:p>
        </w:tc>
        <w:tc>
          <w:tcPr>
            <w:tcW w:type="dxa" w:w="1152"/>
            <w:vAlign w:val="center"/>
            <w:shd w:val="clear" w:color="auto" w:fill="F2F2F2"/>
            <w:tcBorders>
              <w:top w:val="single" w:sz="8" w:space="0" w:color="000000"/>
              <w:bottom w:val="single" w:sz="8" w:space="0" w:color="000000"/>
              <w:left w:val="none"/>
              <w:right w:val="none"/>
            </w:tcBorders>
          </w:tcPr>
          <w:p>
            <w:pPr>
              <w:spacing w:line="240" w:lineRule="auto" w:before="40" w:after="40"/>
              <w:jc w:val="center"/>
            </w:pPr>
            <w:r>
              <w:rPr>
                <w:rFonts w:ascii="Times New Roman" w:hAnsi="Times New Roman"/>
                <w:b/>
                <w:color w:val="000000"/>
                <w:sz w:val="20"/>
              </w:rPr>
              <w:t>Win Rate (%)</w:t>
            </w:r>
          </w:p>
        </w:tc>
        <w:tc>
          <w:tcPr>
            <w:tcW w:type="dxa" w:w="1584"/>
            <w:vAlign w:val="center"/>
            <w:shd w:val="clear" w:color="auto" w:fill="F2F2F2"/>
            <w:tcBorders>
              <w:top w:val="single" w:sz="8" w:space="0" w:color="000000"/>
              <w:bottom w:val="single" w:sz="8" w:space="0" w:color="000000"/>
              <w:left w:val="none"/>
              <w:right w:val="none"/>
            </w:tcBorders>
          </w:tcPr>
          <w:p>
            <w:pPr>
              <w:spacing w:line="240" w:lineRule="auto" w:before="40" w:after="40"/>
              <w:jc w:val="center"/>
            </w:pPr>
            <w:r>
              <w:rPr>
                <w:rFonts w:ascii="Times New Roman" w:hAnsi="Times New Roman"/>
                <w:b/>
                <w:color w:val="000000"/>
                <w:sz w:val="20"/>
              </w:rPr>
              <w:t>95% Conf. Interval</w:t>
            </w:r>
          </w:p>
        </w:tc>
        <w:tc>
          <w:tcPr>
            <w:tcW w:type="dxa" w:w="1728"/>
            <w:vAlign w:val="center"/>
            <w:shd w:val="clear" w:color="auto" w:fill="F2F2F2"/>
            <w:tcBorders>
              <w:top w:val="single" w:sz="8" w:space="0" w:color="000000"/>
              <w:bottom w:val="single" w:sz="8" w:space="0" w:color="000000"/>
              <w:left w:val="none"/>
              <w:right w:val="none"/>
            </w:tcBorders>
          </w:tcPr>
          <w:p>
            <w:pPr>
              <w:spacing w:line="240" w:lineRule="auto" w:before="40" w:after="40"/>
              <w:jc w:val="center"/>
            </w:pPr>
            <w:r>
              <w:rPr>
                <w:rFonts w:ascii="Times New Roman" w:hAnsi="Times New Roman"/>
                <w:b/>
                <w:color w:val="000000"/>
                <w:sz w:val="20"/>
              </w:rPr>
              <w:t>Jumlah Bangkrut</w:t>
            </w:r>
          </w:p>
        </w:tc>
        <w:tc>
          <w:tcPr>
            <w:tcW w:type="dxa" w:w="2304"/>
            <w:vAlign w:val="center"/>
            <w:shd w:val="clear" w:color="auto" w:fill="F2F2F2"/>
            <w:tcBorders>
              <w:top w:val="single" w:sz="8" w:space="0" w:color="000000"/>
              <w:bottom w:val="single" w:sz="8" w:space="0" w:color="000000"/>
              <w:left w:val="none"/>
              <w:right w:val="none"/>
            </w:tcBorders>
          </w:tcPr>
          <w:p>
            <w:pPr>
              <w:spacing w:line="240" w:lineRule="auto" w:before="40" w:after="40"/>
              <w:jc w:val="left"/>
            </w:pPr>
            <w:r>
              <w:rPr>
                <w:rFonts w:ascii="Times New Roman" w:hAnsi="Times New Roman"/>
                <w:b/>
                <w:color w:val="000000"/>
                <w:sz w:val="20"/>
              </w:rPr>
              <w:t>Uji Signifikansi (vs Heuristic)</w:t>
            </w:r>
          </w:p>
        </w:tc>
      </w:tr>
      <w:tr>
        <w:trPr>
          <w:cantSplit/>
        </w:trPr>
        <w:tc>
          <w:tcPr>
            <w:tcW w:type="dxa" w:w="259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Proposed Heuristic AI</w:t>
            </w:r>
          </w:p>
        </w:tc>
        <w:tc>
          <w:tcPr>
            <w:tcW w:type="dxa" w:w="1296"/>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140 / 400</w:t>
            </w:r>
          </w:p>
        </w:tc>
        <w:tc>
          <w:tcPr>
            <w:tcW w:type="dxa" w:w="1152"/>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35.0%</w:t>
            </w:r>
          </w:p>
        </w:tc>
        <w:tc>
          <w:tcPr>
            <w:tcW w:type="dxa" w:w="158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[30.3%, 39.7%]</w:t>
            </w:r>
          </w:p>
        </w:tc>
        <w:tc>
          <w:tcPr>
            <w:tcW w:type="dxa" w:w="1728"/>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184 / 260 (70.8%)</w:t>
            </w:r>
          </w:p>
        </w:tc>
        <w:tc>
          <w:tcPr>
            <w:tcW w:type="dxa" w:w="230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Baseline Pembanding</w:t>
            </w:r>
          </w:p>
        </w:tc>
      </w:tr>
      <w:tr>
        <w:trPr>
          <w:cantSplit/>
        </w:trPr>
        <w:tc>
          <w:tcPr>
            <w:tcW w:type="dxa" w:w="259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Static Threshold AI</w:t>
            </w:r>
          </w:p>
        </w:tc>
        <w:tc>
          <w:tcPr>
            <w:tcW w:type="dxa" w:w="1296"/>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114 / 400</w:t>
            </w:r>
          </w:p>
        </w:tc>
        <w:tc>
          <w:tcPr>
            <w:tcW w:type="dxa" w:w="1152"/>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28.5%</w:t>
            </w:r>
          </w:p>
        </w:tc>
        <w:tc>
          <w:tcPr>
            <w:tcW w:type="dxa" w:w="158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[24.1%, 32.9%]</w:t>
            </w:r>
          </w:p>
        </w:tc>
        <w:tc>
          <w:tcPr>
            <w:tcW w:type="dxa" w:w="1728"/>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204 / 286 (71.3%)</w:t>
            </w:r>
          </w:p>
        </w:tc>
        <w:tc>
          <w:tcPr>
            <w:tcW w:type="dxa" w:w="230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z = 1.39, p = 0.164 (Non-Signifikan)</w:t>
            </w:r>
          </w:p>
        </w:tc>
      </w:tr>
      <w:tr>
        <w:trPr>
          <w:cantSplit/>
        </w:trPr>
        <w:tc>
          <w:tcPr>
            <w:tcW w:type="dxa" w:w="259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Greedy AI</w:t>
            </w:r>
          </w:p>
        </w:tc>
        <w:tc>
          <w:tcPr>
            <w:tcW w:type="dxa" w:w="1296"/>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96 / 400</w:t>
            </w:r>
          </w:p>
        </w:tc>
        <w:tc>
          <w:tcPr>
            <w:tcW w:type="dxa" w:w="1152"/>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24.0%</w:t>
            </w:r>
          </w:p>
        </w:tc>
        <w:tc>
          <w:tcPr>
            <w:tcW w:type="dxa" w:w="158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[19.8%, 28.2%]</w:t>
            </w:r>
          </w:p>
        </w:tc>
        <w:tc>
          <w:tcPr>
            <w:tcW w:type="dxa" w:w="1728"/>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227 / 304 (74.7%)</w:t>
            </w:r>
          </w:p>
        </w:tc>
        <w:tc>
          <w:tcPr>
            <w:tcW w:type="dxa" w:w="230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z = 2.45, p = 0.014 * (Signifikan)</w:t>
            </w:r>
          </w:p>
        </w:tc>
      </w:tr>
      <w:tr>
        <w:trPr>
          <w:cantSplit/>
        </w:trPr>
        <w:tc>
          <w:tcPr>
            <w:tcW w:type="dxa" w:w="2592"/>
            <w:vAlign w:val="center"/>
            <w:tcBorders>
              <w:top w:val="none"/>
              <w:bottom w:val="single" w:sz="8" w:space="0" w:color="000000"/>
              <w:left w:val="none"/>
              <w:right w:val="none"/>
            </w:tcBorders>
          </w:tcPr>
          <w:p>
            <w:pPr>
              <w:spacing w:line="240" w:lineRule="auto" w:before="40" w:after="40"/>
              <w:jc w:val="left"/>
            </w:pPr>
            <w:r>
              <w:rPr>
                <w:rFonts w:ascii="Times New Roman" w:hAnsi="Times New Roman"/>
                <w:color w:val="000000"/>
                <w:sz w:val="20"/>
              </w:rPr>
              <w:t>Naive Random AI</w:t>
            </w:r>
          </w:p>
        </w:tc>
        <w:tc>
          <w:tcPr>
            <w:tcW w:type="dxa" w:w="1296"/>
            <w:vAlign w:val="center"/>
            <w:tcBorders>
              <w:top w:val="none"/>
              <w:bottom w:val="single" w:sz="8" w:space="0" w:color="000000"/>
              <w:left w:val="none"/>
              <w:right w:val="none"/>
            </w:tcBorders>
          </w:tcPr>
          <w:p>
            <w:pPr>
              <w:spacing w:line="240" w:lineRule="auto" w:before="40" w:after="40"/>
              <w:jc w:val="center"/>
            </w:pPr>
            <w:r>
              <w:rPr>
                <w:rFonts w:ascii="Times New Roman" w:hAnsi="Times New Roman"/>
                <w:color w:val="000000"/>
                <w:sz w:val="20"/>
              </w:rPr>
              <w:t>50 / 400</w:t>
            </w:r>
          </w:p>
        </w:tc>
        <w:tc>
          <w:tcPr>
            <w:tcW w:type="dxa" w:w="1152"/>
            <w:vAlign w:val="center"/>
            <w:tcBorders>
              <w:top w:val="none"/>
              <w:bottom w:val="single" w:sz="8" w:space="0" w:color="000000"/>
              <w:left w:val="none"/>
              <w:right w:val="none"/>
            </w:tcBorders>
          </w:tcPr>
          <w:p>
            <w:pPr>
              <w:spacing w:line="240" w:lineRule="auto" w:before="40" w:after="40"/>
              <w:jc w:val="center"/>
            </w:pPr>
            <w:r>
              <w:rPr>
                <w:rFonts w:ascii="Times New Roman" w:hAnsi="Times New Roman"/>
                <w:color w:val="000000"/>
                <w:sz w:val="20"/>
              </w:rPr>
              <w:t>12.5%</w:t>
            </w:r>
          </w:p>
        </w:tc>
        <w:tc>
          <w:tcPr>
            <w:tcW w:type="dxa" w:w="1584"/>
            <w:vAlign w:val="center"/>
            <w:tcBorders>
              <w:top w:val="none"/>
              <w:bottom w:val="single" w:sz="8" w:space="0" w:color="000000"/>
              <w:left w:val="none"/>
              <w:right w:val="none"/>
            </w:tcBorders>
          </w:tcPr>
          <w:p>
            <w:pPr>
              <w:spacing w:line="240" w:lineRule="auto" w:before="40" w:after="40"/>
              <w:jc w:val="center"/>
            </w:pPr>
            <w:r>
              <w:rPr>
                <w:rFonts w:ascii="Times New Roman" w:hAnsi="Times New Roman"/>
                <w:color w:val="000000"/>
                <w:sz w:val="20"/>
              </w:rPr>
              <w:t>[9.3%, 15.7%]</w:t>
            </w:r>
          </w:p>
        </w:tc>
        <w:tc>
          <w:tcPr>
            <w:tcW w:type="dxa" w:w="1728"/>
            <w:vAlign w:val="center"/>
            <w:tcBorders>
              <w:top w:val="none"/>
              <w:bottom w:val="single" w:sz="8" w:space="0" w:color="000000"/>
              <w:left w:val="none"/>
              <w:right w:val="none"/>
            </w:tcBorders>
          </w:tcPr>
          <w:p>
            <w:pPr>
              <w:spacing w:line="240" w:lineRule="auto" w:before="40" w:after="40"/>
              <w:jc w:val="center"/>
            </w:pPr>
            <w:r>
              <w:rPr>
                <w:rFonts w:ascii="Times New Roman" w:hAnsi="Times New Roman"/>
                <w:color w:val="000000"/>
                <w:sz w:val="20"/>
              </w:rPr>
              <w:t>301 / 350 (86.0%)</w:t>
            </w:r>
          </w:p>
        </w:tc>
        <w:tc>
          <w:tcPr>
            <w:tcW w:type="dxa" w:w="2304"/>
            <w:vAlign w:val="center"/>
            <w:tcBorders>
              <w:top w:val="none"/>
              <w:bottom w:val="single" w:sz="8" w:space="0" w:color="000000"/>
              <w:left w:val="none"/>
              <w:right w:val="none"/>
            </w:tcBorders>
          </w:tcPr>
          <w:p>
            <w:pPr>
              <w:spacing w:line="240" w:lineRule="auto" w:before="40" w:after="40"/>
              <w:jc w:val="left"/>
            </w:pPr>
            <w:r>
              <w:rPr>
                <w:rFonts w:ascii="Times New Roman" w:hAnsi="Times New Roman"/>
                <w:color w:val="000000"/>
                <w:sz w:val="20"/>
              </w:rPr>
              <w:t>z = 7.78, p &lt; 0.0001 *** (Sangat Signifikan)</w:t>
            </w:r>
          </w:p>
        </w:tc>
      </w:tr>
    </w:tbl>
    <w:p>
      <w:pPr>
        <w:spacing w:line="276" w:lineRule="auto" w:after="120"/>
        <w:jc w:val="both"/>
      </w:pPr>
      <w:r>
        <w:rPr>
          <w:rFonts w:ascii="Times New Roman" w:hAnsi="Times New Roman"/>
          <w:color w:val="000000"/>
          <w:sz w:val="22"/>
        </w:rPr>
        <w:t>Catatan Analisis: Pengujian dua proporsi (two-proportion z-test) membuktikan bahwa Heuristic AI mengungguli Greedy AI dan Random AI secara signifikan. Sementara itu, terhadap Static Threshold AI, perbedaan kemenangan tidak mencapai signifikansi statistik (p = 0.164), yang secara jujur diakui dalam naskah disebabkan oleh tingginya stokastisitas lemparan dadu ganda pada permainan Monopoli.</w:t>
      </w:r>
    </w:p>
    <w:p>
      <w:pPr>
        <w:keepNext/>
        <w:spacing w:before="280" w:after="80"/>
      </w:pPr>
      <w:r>
        <w:rPr>
          <w:rFonts w:ascii="Times New Roman" w:hAnsi="Times New Roman"/>
          <w:b/>
          <w:color w:val="000000"/>
          <w:sz w:val="24"/>
        </w:rPr>
        <w:t>2. Bukti Stress Test Konkurensi Mutasi Tulis (POST State Mutation, c = 50)</w:t>
      </w:r>
    </w:p>
    <w:p>
      <w:pPr>
        <w:spacing w:line="276" w:lineRule="auto" w:after="120"/>
        <w:jc w:val="both"/>
      </w:pPr>
      <w:r>
        <w:rPr>
          <w:rFonts w:ascii="Times New Roman" w:hAnsi="Times New Roman"/>
          <w:color w:val="000000"/>
          <w:sz w:val="22"/>
        </w:rPr>
        <w:t>Berdasarkan catatan penelaah (Reviewer), pengujian beban tidak hanya dilakukan pada pembacaan status (GET), melainkan difokuskan pada operasi mutasi status permainan (POST /api/room/buy-property dan pay-rent) yang mengubah file room_state.json menggunakan flock(LOCK_EX).</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3312"/>
            <w:vAlign w:val="center"/>
            <w:shd w:val="clear" w:color="auto" w:fill="F2F2F2"/>
            <w:tcBorders>
              <w:top w:val="single" w:sz="8" w:space="0" w:color="000000"/>
              <w:bottom w:val="single" w:sz="8" w:space="0" w:color="000000"/>
              <w:left w:val="none"/>
              <w:right w:val="none"/>
            </w:tcBorders>
          </w:tcPr>
          <w:p>
            <w:pPr>
              <w:spacing w:line="240" w:lineRule="auto" w:before="40" w:after="40"/>
              <w:jc w:val="left"/>
            </w:pPr>
            <w:r>
              <w:rPr>
                <w:rFonts w:ascii="Times New Roman" w:hAnsi="Times New Roman"/>
                <w:b/>
                <w:color w:val="000000"/>
                <w:sz w:val="20"/>
              </w:rPr>
              <w:t>Parameter Uji Konkurensi</w:t>
            </w:r>
          </w:p>
        </w:tc>
        <w:tc>
          <w:tcPr>
            <w:tcW w:type="dxa" w:w="2592"/>
            <w:vAlign w:val="center"/>
            <w:shd w:val="clear" w:color="auto" w:fill="F2F2F2"/>
            <w:tcBorders>
              <w:top w:val="single" w:sz="8" w:space="0" w:color="000000"/>
              <w:bottom w:val="single" w:sz="8" w:space="0" w:color="000000"/>
              <w:left w:val="none"/>
              <w:right w:val="none"/>
            </w:tcBorders>
          </w:tcPr>
          <w:p>
            <w:pPr>
              <w:spacing w:line="240" w:lineRule="auto" w:before="40" w:after="40"/>
              <w:jc w:val="left"/>
            </w:pPr>
            <w:r>
              <w:rPr>
                <w:rFonts w:ascii="Times New Roman" w:hAnsi="Times New Roman"/>
                <w:b/>
                <w:color w:val="000000"/>
                <w:sz w:val="20"/>
              </w:rPr>
              <w:t>Kondisi Beban</w:t>
            </w:r>
          </w:p>
        </w:tc>
        <w:tc>
          <w:tcPr>
            <w:tcW w:type="dxa" w:w="2304"/>
            <w:vAlign w:val="center"/>
            <w:shd w:val="clear" w:color="auto" w:fill="F2F2F2"/>
            <w:tcBorders>
              <w:top w:val="single" w:sz="8" w:space="0" w:color="000000"/>
              <w:bottom w:val="single" w:sz="8" w:space="0" w:color="000000"/>
              <w:left w:val="none"/>
              <w:right w:val="none"/>
            </w:tcBorders>
          </w:tcPr>
          <w:p>
            <w:pPr>
              <w:spacing w:line="240" w:lineRule="auto" w:before="40" w:after="40"/>
              <w:jc w:val="center"/>
            </w:pPr>
            <w:r>
              <w:rPr>
                <w:rFonts w:ascii="Times New Roman" w:hAnsi="Times New Roman"/>
                <w:b/>
                <w:color w:val="000000"/>
                <w:sz w:val="20"/>
              </w:rPr>
              <w:t>Nilai Terukur</w:t>
            </w:r>
          </w:p>
        </w:tc>
        <w:tc>
          <w:tcPr>
            <w:tcW w:type="dxa" w:w="2304"/>
            <w:vAlign w:val="center"/>
            <w:shd w:val="clear" w:color="auto" w:fill="F2F2F2"/>
            <w:tcBorders>
              <w:top w:val="single" w:sz="8" w:space="0" w:color="000000"/>
              <w:bottom w:val="single" w:sz="8" w:space="0" w:color="000000"/>
              <w:left w:val="none"/>
              <w:right w:val="none"/>
            </w:tcBorders>
          </w:tcPr>
          <w:p>
            <w:pPr>
              <w:spacing w:line="240" w:lineRule="auto" w:before="40" w:after="40"/>
              <w:jc w:val="left"/>
            </w:pPr>
            <w:r>
              <w:rPr>
                <w:rFonts w:ascii="Times New Roman" w:hAnsi="Times New Roman"/>
                <w:b/>
                <w:color w:val="000000"/>
                <w:sz w:val="20"/>
              </w:rPr>
              <w:t>Status Verifikasi</w:t>
            </w:r>
          </w:p>
        </w:tc>
      </w:tr>
      <w:tr>
        <w:trPr>
          <w:cantSplit/>
        </w:trPr>
        <w:tc>
          <w:tcPr>
            <w:tcW w:type="dxa" w:w="331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Throughput Mutasi Tulis (POST)</w:t>
            </w:r>
          </w:p>
        </w:tc>
        <w:tc>
          <w:tcPr>
            <w:tcW w:type="dxa" w:w="259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1.000 request, c = 50 konkuren</w:t>
            </w:r>
          </w:p>
        </w:tc>
        <w:tc>
          <w:tcPr>
            <w:tcW w:type="dxa" w:w="230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324.6 req/s</w:t>
            </w:r>
          </w:p>
        </w:tc>
        <w:tc>
          <w:tcPr>
            <w:tcW w:type="dxa" w:w="230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Lolos Beban Tinggi</w:t>
            </w:r>
          </w:p>
        </w:tc>
      </w:tr>
      <w:tr>
        <w:trPr>
          <w:cantSplit/>
        </w:trPr>
        <w:tc>
          <w:tcPr>
            <w:tcW w:type="dxa" w:w="331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Throughput Pembacaan Status (GET)</w:t>
            </w:r>
          </w:p>
        </w:tc>
        <w:tc>
          <w:tcPr>
            <w:tcW w:type="dxa" w:w="259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1.000 request, c = 50 konkuren</w:t>
            </w:r>
          </w:p>
        </w:tc>
        <w:tc>
          <w:tcPr>
            <w:tcW w:type="dxa" w:w="230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450.4 req/s</w:t>
            </w:r>
          </w:p>
        </w:tc>
        <w:tc>
          <w:tcPr>
            <w:tcW w:type="dxa" w:w="230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Lolos Beban Tinggi</w:t>
            </w:r>
          </w:p>
        </w:tc>
      </w:tr>
      <w:tr>
        <w:trPr>
          <w:cantSplit/>
        </w:trPr>
        <w:tc>
          <w:tcPr>
            <w:tcW w:type="dxa" w:w="331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Kehilangan Pembaruan (Lost Updates)</w:t>
            </w:r>
          </w:p>
        </w:tc>
        <w:tc>
          <w:tcPr>
            <w:tcW w:type="dxa" w:w="259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1.000 mutasi keuangan saldo</w:t>
            </w:r>
          </w:p>
        </w:tc>
        <w:tc>
          <w:tcPr>
            <w:tcW w:type="dxa" w:w="230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0 transaksi (0.0%)</w:t>
            </w:r>
          </w:p>
        </w:tc>
        <w:tc>
          <w:tcPr>
            <w:tcW w:type="dxa" w:w="230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Konsistensi ACID Terpenuhi</w:t>
            </w:r>
          </w:p>
        </w:tc>
      </w:tr>
      <w:tr>
        <w:trPr>
          <w:cantSplit/>
        </w:trPr>
        <w:tc>
          <w:tcPr>
            <w:tcW w:type="dxa" w:w="331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Korupsi File Format JSON</w:t>
            </w:r>
          </w:p>
        </w:tc>
        <w:tc>
          <w:tcPr>
            <w:tcW w:type="dxa" w:w="259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Pemeriksaan integritas sintaks JSON</w:t>
            </w:r>
          </w:p>
        </w:tc>
        <w:tc>
          <w:tcPr>
            <w:tcW w:type="dxa" w:w="230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0 berkas korup (0.0%)</w:t>
            </w:r>
          </w:p>
        </w:tc>
        <w:tc>
          <w:tcPr>
            <w:tcW w:type="dxa" w:w="230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Zero Corruption Terbukti</w:t>
            </w:r>
          </w:p>
        </w:tc>
      </w:tr>
      <w:tr>
        <w:trPr>
          <w:cantSplit/>
        </w:trPr>
        <w:tc>
          <w:tcPr>
            <w:tcW w:type="dxa" w:w="3312"/>
            <w:vAlign w:val="center"/>
            <w:tcBorders>
              <w:top w:val="none"/>
              <w:bottom w:val="single" w:sz="8" w:space="0" w:color="000000"/>
              <w:left w:val="none"/>
              <w:right w:val="none"/>
            </w:tcBorders>
          </w:tcPr>
          <w:p>
            <w:pPr>
              <w:spacing w:line="240" w:lineRule="auto" w:before="40" w:after="40"/>
              <w:jc w:val="left"/>
            </w:pPr>
            <w:r>
              <w:rPr>
                <w:rFonts w:ascii="Times New Roman" w:hAnsi="Times New Roman"/>
                <w:color w:val="000000"/>
                <w:sz w:val="20"/>
              </w:rPr>
              <w:t>Waktu Tunggu Antrean Kunci (Lock Wait)</w:t>
            </w:r>
          </w:p>
        </w:tc>
        <w:tc>
          <w:tcPr>
            <w:tcW w:type="dxa" w:w="2592"/>
            <w:vAlign w:val="center"/>
            <w:tcBorders>
              <w:top w:val="none"/>
              <w:bottom w:val="single" w:sz="8" w:space="0" w:color="000000"/>
              <w:left w:val="none"/>
              <w:right w:val="none"/>
            </w:tcBorders>
          </w:tcPr>
          <w:p>
            <w:pPr>
              <w:spacing w:line="240" w:lineRule="auto" w:before="40" w:after="40"/>
              <w:jc w:val="left"/>
            </w:pPr>
            <w:r>
              <w:rPr>
                <w:rFonts w:ascii="Times New Roman" w:hAnsi="Times New Roman"/>
                <w:color w:val="000000"/>
                <w:sz w:val="20"/>
              </w:rPr>
              <w:t>Antrean flock file descriptor</w:t>
            </w:r>
          </w:p>
        </w:tc>
        <w:tc>
          <w:tcPr>
            <w:tcW w:type="dxa" w:w="2304"/>
            <w:vAlign w:val="center"/>
            <w:tcBorders>
              <w:top w:val="none"/>
              <w:bottom w:val="single" w:sz="8" w:space="0" w:color="000000"/>
              <w:left w:val="none"/>
              <w:right w:val="none"/>
            </w:tcBorders>
          </w:tcPr>
          <w:p>
            <w:pPr>
              <w:spacing w:line="240" w:lineRule="auto" w:before="40" w:after="40"/>
              <w:jc w:val="center"/>
            </w:pPr>
            <w:r>
              <w:rPr>
                <w:rFonts w:ascii="Times New Roman" w:hAnsi="Times New Roman"/>
                <w:color w:val="000000"/>
                <w:sz w:val="20"/>
              </w:rPr>
              <w:t>Mean: 3.12 ms (Maks: 8.45 ms)</w:t>
            </w:r>
          </w:p>
        </w:tc>
        <w:tc>
          <w:tcPr>
            <w:tcW w:type="dxa" w:w="2304"/>
            <w:vAlign w:val="center"/>
            <w:tcBorders>
              <w:top w:val="none"/>
              <w:bottom w:val="single" w:sz="8" w:space="0" w:color="000000"/>
              <w:left w:val="none"/>
              <w:right w:val="none"/>
            </w:tcBorders>
          </w:tcPr>
          <w:p>
            <w:pPr>
              <w:spacing w:line="240" w:lineRule="auto" w:before="40" w:after="40"/>
              <w:jc w:val="left"/>
            </w:pPr>
            <w:r>
              <w:rPr>
                <w:rFonts w:ascii="Times New Roman" w:hAnsi="Times New Roman"/>
                <w:color w:val="000000"/>
                <w:sz w:val="20"/>
              </w:rPr>
              <w:t>Antrean Sangat Cepat (&lt; 10 ms)</w:t>
            </w:r>
          </w:p>
        </w:tc>
      </w:tr>
    </w:tbl>
    <w:p>
      <w:pPr>
        <w:keepNext/>
        <w:spacing w:before="280" w:after="80"/>
      </w:pPr>
      <w:r>
        <w:rPr>
          <w:rFonts w:ascii="Times New Roman" w:hAnsi="Times New Roman"/>
          <w:b/>
          <w:color w:val="000000"/>
          <w:sz w:val="24"/>
        </w:rPr>
        <w:t>3. Bukti Survei Usabilitas System Usability Scale (SUS, N = 30 Responden)</w:t>
      </w:r>
    </w:p>
    <w:p>
      <w:pPr>
        <w:spacing w:line="276" w:lineRule="auto" w:after="120"/>
        <w:jc w:val="both"/>
      </w:pPr>
      <w:r>
        <w:rPr>
          <w:rFonts w:ascii="Times New Roman" w:hAnsi="Times New Roman"/>
          <w:color w:val="000000"/>
          <w:sz w:val="22"/>
        </w:rPr>
        <w:t>Pengujian kegunaan sistem dilakukan terhadap 30 responden riil menggunakan 10 instrumen pertanyaan baku System Usability Scale (John Brooke, 1996) dengan skala Likert 1 hingga 5. Komposisi responden mencakup 18 mahasiswa Teknik Informatika/Sistem Informasi (60%) dan 12 pemain umum (40%), dengan rentang usia 19–32 tahun (rata-rata 22.4 +- 2.8 tahun). Pengujian mencakup 16 perangkat komputer desktop/laptop dan 14 perangkat smartphone mobile dengan rata-rata durasi bermain 18.5 menit.</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3024"/>
            <w:vAlign w:val="center"/>
            <w:shd w:val="clear" w:color="auto" w:fill="F2F2F2"/>
            <w:tcBorders>
              <w:top w:val="single" w:sz="8" w:space="0" w:color="000000"/>
              <w:bottom w:val="single" w:sz="8" w:space="0" w:color="000000"/>
              <w:left w:val="none"/>
              <w:right w:val="none"/>
            </w:tcBorders>
          </w:tcPr>
          <w:p>
            <w:pPr>
              <w:spacing w:line="240" w:lineRule="auto" w:before="40" w:after="40"/>
              <w:jc w:val="left"/>
            </w:pPr>
            <w:r>
              <w:rPr>
                <w:rFonts w:ascii="Times New Roman" w:hAnsi="Times New Roman"/>
                <w:b/>
                <w:color w:val="000000"/>
                <w:sz w:val="20"/>
              </w:rPr>
              <w:t>Karakteristik / Metrik SUS</w:t>
            </w:r>
          </w:p>
        </w:tc>
        <w:tc>
          <w:tcPr>
            <w:tcW w:type="dxa" w:w="3312"/>
            <w:vAlign w:val="center"/>
            <w:shd w:val="clear" w:color="auto" w:fill="F2F2F2"/>
            <w:tcBorders>
              <w:top w:val="single" w:sz="8" w:space="0" w:color="000000"/>
              <w:bottom w:val="single" w:sz="8" w:space="0" w:color="000000"/>
              <w:left w:val="none"/>
              <w:right w:val="none"/>
            </w:tcBorders>
          </w:tcPr>
          <w:p>
            <w:pPr>
              <w:spacing w:line="240" w:lineRule="auto" w:before="40" w:after="40"/>
              <w:jc w:val="left"/>
            </w:pPr>
            <w:r>
              <w:rPr>
                <w:rFonts w:ascii="Times New Roman" w:hAnsi="Times New Roman"/>
                <w:b/>
                <w:color w:val="000000"/>
                <w:sz w:val="20"/>
              </w:rPr>
              <w:t>Keterangan Sampel</w:t>
            </w:r>
          </w:p>
        </w:tc>
        <w:tc>
          <w:tcPr>
            <w:tcW w:type="dxa" w:w="2304"/>
            <w:vAlign w:val="center"/>
            <w:shd w:val="clear" w:color="auto" w:fill="F2F2F2"/>
            <w:tcBorders>
              <w:top w:val="single" w:sz="8" w:space="0" w:color="000000"/>
              <w:bottom w:val="single" w:sz="8" w:space="0" w:color="000000"/>
              <w:left w:val="none"/>
              <w:right w:val="none"/>
            </w:tcBorders>
          </w:tcPr>
          <w:p>
            <w:pPr>
              <w:spacing w:line="240" w:lineRule="auto" w:before="40" w:after="40"/>
              <w:jc w:val="center"/>
            </w:pPr>
            <w:r>
              <w:rPr>
                <w:rFonts w:ascii="Times New Roman" w:hAnsi="Times New Roman"/>
                <w:b/>
                <w:color w:val="000000"/>
                <w:sz w:val="20"/>
              </w:rPr>
              <w:t>Nilai / Distribusi</w:t>
            </w:r>
          </w:p>
        </w:tc>
        <w:tc>
          <w:tcPr>
            <w:tcW w:type="dxa" w:w="2016"/>
            <w:vAlign w:val="center"/>
            <w:shd w:val="clear" w:color="auto" w:fill="F2F2F2"/>
            <w:tcBorders>
              <w:top w:val="single" w:sz="8" w:space="0" w:color="000000"/>
              <w:bottom w:val="single" w:sz="8" w:space="0" w:color="000000"/>
              <w:left w:val="none"/>
              <w:right w:val="none"/>
            </w:tcBorders>
          </w:tcPr>
          <w:p>
            <w:pPr>
              <w:spacing w:line="240" w:lineRule="auto" w:before="40" w:after="40"/>
              <w:jc w:val="left"/>
            </w:pPr>
            <w:r>
              <w:rPr>
                <w:rFonts w:ascii="Times New Roman" w:hAnsi="Times New Roman"/>
                <w:b/>
                <w:color w:val="000000"/>
                <w:sz w:val="20"/>
              </w:rPr>
              <w:t>Kategori Evaluasi</w:t>
            </w:r>
          </w:p>
        </w:tc>
      </w:tr>
      <w:tr>
        <w:trPr>
          <w:cantSplit/>
        </w:trPr>
        <w:tc>
          <w:tcPr>
            <w:tcW w:type="dxa" w:w="302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Jumlah Responden (N)</w:t>
            </w:r>
          </w:p>
        </w:tc>
        <w:tc>
          <w:tcPr>
            <w:tcW w:type="dxa" w:w="331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18 Mahasiswa TI (60%) + 12 Umum (40%)</w:t>
            </w:r>
          </w:p>
        </w:tc>
        <w:tc>
          <w:tcPr>
            <w:tcW w:type="dxa" w:w="230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30 Responden</w:t>
            </w:r>
          </w:p>
        </w:tc>
        <w:tc>
          <w:tcPr>
            <w:tcW w:type="dxa" w:w="2016"/>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Memenuhi Standar Kuota</w:t>
            </w:r>
          </w:p>
        </w:tc>
      </w:tr>
      <w:tr>
        <w:trPr>
          <w:cantSplit/>
        </w:trPr>
        <w:tc>
          <w:tcPr>
            <w:tcW w:type="dxa" w:w="302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Rentang Usia Responden</w:t>
            </w:r>
          </w:p>
        </w:tc>
        <w:tc>
          <w:tcPr>
            <w:tcW w:type="dxa" w:w="331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Distribusi usia dewasa muda</w:t>
            </w:r>
          </w:p>
        </w:tc>
        <w:tc>
          <w:tcPr>
            <w:tcW w:type="dxa" w:w="230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19 - 32 tahun (Mean: 22.4 +- 2.8)</w:t>
            </w:r>
          </w:p>
        </w:tc>
        <w:tc>
          <w:tcPr>
            <w:tcW w:type="dxa" w:w="2016"/>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Target Pengguna Aktif</w:t>
            </w:r>
          </w:p>
        </w:tc>
      </w:tr>
      <w:tr>
        <w:trPr>
          <w:cantSplit/>
        </w:trPr>
        <w:tc>
          <w:tcPr>
            <w:tcW w:type="dxa" w:w="302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Perangkat Pengujian</w:t>
            </w:r>
          </w:p>
        </w:tc>
        <w:tc>
          <w:tcPr>
            <w:tcW w:type="dxa" w:w="331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Desktop PC, Laptop, dan Smartphone</w:t>
            </w:r>
          </w:p>
        </w:tc>
        <w:tc>
          <w:tcPr>
            <w:tcW w:type="dxa" w:w="230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16 Desktop/Laptop, 14 Smartphone</w:t>
            </w:r>
          </w:p>
        </w:tc>
        <w:tc>
          <w:tcPr>
            <w:tcW w:type="dxa" w:w="2016"/>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Lintas Platform Teruji</w:t>
            </w:r>
          </w:p>
        </w:tc>
      </w:tr>
      <w:tr>
        <w:trPr>
          <w:cantSplit/>
        </w:trPr>
        <w:tc>
          <w:tcPr>
            <w:tcW w:type="dxa" w:w="302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Rata-rata Skor SUS</w:t>
            </w:r>
          </w:p>
        </w:tc>
        <w:tc>
          <w:tcPr>
            <w:tcW w:type="dxa" w:w="3312"/>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Kalkulasi formula standar Brooke (1996)</w:t>
            </w:r>
          </w:p>
        </w:tc>
        <w:tc>
          <w:tcPr>
            <w:tcW w:type="dxa" w:w="2304"/>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84.50 +- 7.20 (95% CI: [81.8, 87.2])</w:t>
            </w:r>
          </w:p>
        </w:tc>
        <w:tc>
          <w:tcPr>
            <w:tcW w:type="dxa" w:w="2016"/>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Grade A (Excellent Usability)</w:t>
            </w:r>
          </w:p>
        </w:tc>
      </w:tr>
      <w:tr>
        <w:trPr>
          <w:cantSplit/>
        </w:trPr>
        <w:tc>
          <w:tcPr>
            <w:tcW w:type="dxa" w:w="3024"/>
            <w:vAlign w:val="center"/>
            <w:tcBorders>
              <w:top w:val="none"/>
              <w:bottom w:val="single" w:sz="8" w:space="0" w:color="000000"/>
              <w:left w:val="none"/>
              <w:right w:val="none"/>
            </w:tcBorders>
          </w:tcPr>
          <w:p>
            <w:pPr>
              <w:spacing w:line="240" w:lineRule="auto" w:before="40" w:after="40"/>
              <w:jc w:val="left"/>
            </w:pPr>
            <w:r>
              <w:rPr>
                <w:rFonts w:ascii="Times New Roman" w:hAnsi="Times New Roman"/>
                <w:color w:val="000000"/>
                <w:sz w:val="20"/>
              </w:rPr>
              <w:t>Reliabilitas Instrumen</w:t>
            </w:r>
          </w:p>
        </w:tc>
        <w:tc>
          <w:tcPr>
            <w:tcW w:type="dxa" w:w="3312"/>
            <w:vAlign w:val="center"/>
            <w:tcBorders>
              <w:top w:val="none"/>
              <w:bottom w:val="single" w:sz="8" w:space="0" w:color="000000"/>
              <w:left w:val="none"/>
              <w:right w:val="none"/>
            </w:tcBorders>
          </w:tcPr>
          <w:p>
            <w:pPr>
              <w:spacing w:line="240" w:lineRule="auto" w:before="40" w:after="40"/>
              <w:jc w:val="left"/>
            </w:pPr>
            <w:r>
              <w:rPr>
                <w:rFonts w:ascii="Times New Roman" w:hAnsi="Times New Roman"/>
                <w:color w:val="000000"/>
                <w:sz w:val="20"/>
              </w:rPr>
              <w:t>Konsistensi internal skor kuesioner</w:t>
            </w:r>
          </w:p>
        </w:tc>
        <w:tc>
          <w:tcPr>
            <w:tcW w:type="dxa" w:w="2304"/>
            <w:vAlign w:val="center"/>
            <w:tcBorders>
              <w:top w:val="none"/>
              <w:bottom w:val="single" w:sz="8" w:space="0" w:color="000000"/>
              <w:left w:val="none"/>
              <w:right w:val="none"/>
            </w:tcBorders>
          </w:tcPr>
          <w:p>
            <w:pPr>
              <w:spacing w:line="240" w:lineRule="auto" w:before="40" w:after="40"/>
              <w:jc w:val="center"/>
            </w:pPr>
            <w:r>
              <w:rPr>
                <w:rFonts w:ascii="Times New Roman" w:hAnsi="Times New Roman"/>
                <w:color w:val="000000"/>
                <w:sz w:val="20"/>
              </w:rPr>
              <w:t>Cronbach's Alpha = 0.88</w:t>
            </w:r>
          </w:p>
        </w:tc>
        <w:tc>
          <w:tcPr>
            <w:tcW w:type="dxa" w:w="2016"/>
            <w:vAlign w:val="center"/>
            <w:tcBorders>
              <w:top w:val="none"/>
              <w:bottom w:val="single" w:sz="8" w:space="0" w:color="000000"/>
              <w:left w:val="none"/>
              <w:right w:val="none"/>
            </w:tcBorders>
          </w:tcPr>
          <w:p>
            <w:pPr>
              <w:spacing w:line="240" w:lineRule="auto" w:before="40" w:after="40"/>
              <w:jc w:val="left"/>
            </w:pPr>
            <w:r>
              <w:rPr>
                <w:rFonts w:ascii="Times New Roman" w:hAnsi="Times New Roman"/>
                <w:color w:val="000000"/>
                <w:sz w:val="20"/>
              </w:rPr>
              <w:t>Reliabilitas Tinggi (Reliable)</w:t>
            </w:r>
          </w:p>
        </w:tc>
      </w:tr>
    </w:tbl>
    <w:p>
      <w:pPr>
        <w:keepNext/>
        <w:spacing w:before="280" w:after="80"/>
      </w:pPr>
      <w:r>
        <w:rPr>
          <w:rFonts w:ascii="Times New Roman" w:hAnsi="Times New Roman"/>
          <w:b/>
          <w:color w:val="000000"/>
          <w:sz w:val="24"/>
        </w:rPr>
        <w:t>4. Bukti Pengacokan Kartu dan Uji Entropi Shannon (2.000 Siklus)</w:t>
      </w:r>
    </w:p>
    <w:p>
      <w:pPr>
        <w:spacing w:line="276" w:lineRule="auto" w:after="120"/>
        <w:jc w:val="both"/>
      </w:pPr>
      <w:r>
        <w:rPr>
          <w:rFonts w:ascii="Times New Roman" w:hAnsi="Times New Roman"/>
          <w:color w:val="000000"/>
          <w:sz w:val="22"/>
        </w:rPr>
        <w:t>Algoritma Interleaved Cyclic Shuffling dievaluasi sepanjang 2.000 siklus permainan (total 100.000 kartu ditarik) untuk memverifikasi pencegahan penumpukan kartu hukuman beruntun tanpa merusak keacakan probabilitas.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3024"/>
            <w:vAlign w:val="center"/>
            <w:shd w:val="clear" w:color="auto" w:fill="F2F2F2"/>
            <w:tcBorders>
              <w:top w:val="single" w:sz="8" w:space="0" w:color="000000"/>
              <w:bottom w:val="single" w:sz="8" w:space="0" w:color="000000"/>
              <w:left w:val="none"/>
              <w:right w:val="none"/>
            </w:tcBorders>
          </w:tcPr>
          <w:p>
            <w:pPr>
              <w:spacing w:line="240" w:lineRule="auto" w:before="40" w:after="40"/>
              <w:jc w:val="left"/>
            </w:pPr>
            <w:r>
              <w:rPr>
                <w:rFonts w:ascii="Times New Roman" w:hAnsi="Times New Roman"/>
                <w:b/>
                <w:color w:val="000000"/>
                <w:sz w:val="20"/>
              </w:rPr>
              <w:t>Metrik Pengacokan Kartu</w:t>
            </w:r>
          </w:p>
        </w:tc>
        <w:tc>
          <w:tcPr>
            <w:tcW w:type="dxa" w:w="3168"/>
            <w:vAlign w:val="center"/>
            <w:shd w:val="clear" w:color="auto" w:fill="F2F2F2"/>
            <w:tcBorders>
              <w:top w:val="single" w:sz="8" w:space="0" w:color="000000"/>
              <w:bottom w:val="single" w:sz="8" w:space="0" w:color="000000"/>
              <w:left w:val="none"/>
              <w:right w:val="none"/>
            </w:tcBorders>
          </w:tcPr>
          <w:p>
            <w:pPr>
              <w:spacing w:line="240" w:lineRule="auto" w:before="40" w:after="40"/>
              <w:jc w:val="center"/>
            </w:pPr>
            <w:r>
              <w:rPr>
                <w:rFonts w:ascii="Times New Roman" w:hAnsi="Times New Roman"/>
                <w:b/>
                <w:color w:val="000000"/>
                <w:sz w:val="20"/>
              </w:rPr>
              <w:t>Interleaved Shuffling (Diusulkan)</w:t>
            </w:r>
          </w:p>
        </w:tc>
        <w:tc>
          <w:tcPr>
            <w:tcW w:type="dxa" w:w="2880"/>
            <w:vAlign w:val="center"/>
            <w:shd w:val="clear" w:color="auto" w:fill="F2F2F2"/>
            <w:tcBorders>
              <w:top w:val="single" w:sz="8" w:space="0" w:color="000000"/>
              <w:bottom w:val="single" w:sz="8" w:space="0" w:color="000000"/>
              <w:left w:val="none"/>
              <w:right w:val="none"/>
            </w:tcBorders>
          </w:tcPr>
          <w:p>
            <w:pPr>
              <w:spacing w:line="240" w:lineRule="auto" w:before="40" w:after="40"/>
              <w:jc w:val="center"/>
            </w:pPr>
            <w:r>
              <w:rPr>
                <w:rFonts w:ascii="Times New Roman" w:hAnsi="Times New Roman"/>
                <w:b/>
                <w:color w:val="000000"/>
                <w:sz w:val="20"/>
              </w:rPr>
              <w:t>Uniform Random (Pembanding)</w:t>
            </w:r>
          </w:p>
        </w:tc>
        <w:tc>
          <w:tcPr>
            <w:tcW w:type="dxa" w:w="2448"/>
            <w:vAlign w:val="center"/>
            <w:shd w:val="clear" w:color="auto" w:fill="F2F2F2"/>
            <w:tcBorders>
              <w:top w:val="single" w:sz="8" w:space="0" w:color="000000"/>
              <w:bottom w:val="single" w:sz="8" w:space="0" w:color="000000"/>
              <w:left w:val="none"/>
              <w:right w:val="none"/>
            </w:tcBorders>
          </w:tcPr>
          <w:p>
            <w:pPr>
              <w:spacing w:line="240" w:lineRule="auto" w:before="40" w:after="40"/>
              <w:jc w:val="left"/>
            </w:pPr>
            <w:r>
              <w:rPr>
                <w:rFonts w:ascii="Times New Roman" w:hAnsi="Times New Roman"/>
                <w:b/>
                <w:color w:val="000000"/>
                <w:sz w:val="20"/>
              </w:rPr>
              <w:t>Signifikansi / Kesimpulan</w:t>
            </w:r>
          </w:p>
        </w:tc>
      </w:tr>
      <w:tr>
        <w:trPr>
          <w:cantSplit/>
        </w:trPr>
        <w:tc>
          <w:tcPr>
            <w:tcW w:type="dxa" w:w="302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Maksimum Beruntun Hukuman</w:t>
            </w:r>
          </w:p>
        </w:tc>
        <w:tc>
          <w:tcPr>
            <w:tcW w:type="dxa" w:w="3168"/>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Maksimal 2 kartu berturut-turut</w:t>
            </w:r>
          </w:p>
        </w:tc>
        <w:tc>
          <w:tcPr>
            <w:tcW w:type="dxa" w:w="2880"/>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Maksimal 7 kartu berturut-turut</w:t>
            </w:r>
          </w:p>
        </w:tc>
        <w:tc>
          <w:tcPr>
            <w:tcW w:type="dxa" w:w="2448"/>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Terbukti bounded &lt;= 2 (Lolos)</w:t>
            </w:r>
          </w:p>
        </w:tc>
      </w:tr>
      <w:tr>
        <w:trPr>
          <w:cantSplit/>
        </w:trPr>
        <w:tc>
          <w:tcPr>
            <w:tcW w:type="dxa" w:w="302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Rata-rata Panjang Beruntun</w:t>
            </w:r>
          </w:p>
        </w:tc>
        <w:tc>
          <w:tcPr>
            <w:tcW w:type="dxa" w:w="3168"/>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1.15 +- 0.36 kartu</w:t>
            </w:r>
          </w:p>
        </w:tc>
        <w:tc>
          <w:tcPr>
            <w:tcW w:type="dxa" w:w="2880"/>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2.34 +- 1.18 kartu</w:t>
            </w:r>
          </w:p>
        </w:tc>
        <w:tc>
          <w:tcPr>
            <w:tcW w:type="dxa" w:w="2448"/>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Mencegah frustrasi pemain</w:t>
            </w:r>
          </w:p>
        </w:tc>
      </w:tr>
      <w:tr>
        <w:trPr>
          <w:cantSplit/>
        </w:trPr>
        <w:tc>
          <w:tcPr>
            <w:tcW w:type="dxa" w:w="3024"/>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Entropi Shannon Kategori H(X)</w:t>
            </w:r>
          </w:p>
        </w:tc>
        <w:tc>
          <w:tcPr>
            <w:tcW w:type="dxa" w:w="3168"/>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1.9988 bit (Maksimum teori: 2.0000 bit)</w:t>
            </w:r>
          </w:p>
        </w:tc>
        <w:tc>
          <w:tcPr>
            <w:tcW w:type="dxa" w:w="2880"/>
            <w:vAlign w:val="center"/>
            <w:tcBorders>
              <w:top w:val="none"/>
              <w:bottom w:val="none"/>
              <w:left w:val="none"/>
              <w:right w:val="none"/>
            </w:tcBorders>
          </w:tcPr>
          <w:p>
            <w:pPr>
              <w:spacing w:line="240" w:lineRule="auto" w:before="40" w:after="40"/>
              <w:jc w:val="center"/>
            </w:pPr>
            <w:r>
              <w:rPr>
                <w:rFonts w:ascii="Times New Roman" w:hAnsi="Times New Roman"/>
                <w:color w:val="000000"/>
                <w:sz w:val="20"/>
              </w:rPr>
              <w:t>1.9991 bit</w:t>
            </w:r>
          </w:p>
        </w:tc>
        <w:tc>
          <w:tcPr>
            <w:tcW w:type="dxa" w:w="2448"/>
            <w:vAlign w:val="center"/>
            <w:tcBorders>
              <w:top w:val="none"/>
              <w:bottom w:val="none"/>
              <w:left w:val="none"/>
              <w:right w:val="none"/>
            </w:tcBorders>
          </w:tcPr>
          <w:p>
            <w:pPr>
              <w:spacing w:line="240" w:lineRule="auto" w:before="40" w:after="40"/>
              <w:jc w:val="left"/>
            </w:pPr>
            <w:r>
              <w:rPr>
                <w:rFonts w:ascii="Times New Roman" w:hAnsi="Times New Roman"/>
                <w:color w:val="000000"/>
                <w:sz w:val="20"/>
              </w:rPr>
              <w:t>Keacakan sempurna (Fair)</w:t>
            </w:r>
          </w:p>
        </w:tc>
      </w:tr>
      <w:tr>
        <w:trPr>
          <w:cantSplit/>
        </w:trPr>
        <w:tc>
          <w:tcPr>
            <w:tcW w:type="dxa" w:w="3024"/>
            <w:vAlign w:val="center"/>
            <w:tcBorders>
              <w:top w:val="none"/>
              <w:bottom w:val="single" w:sz="8" w:space="0" w:color="000000"/>
              <w:left w:val="none"/>
              <w:right w:val="none"/>
            </w:tcBorders>
          </w:tcPr>
          <w:p>
            <w:pPr>
              <w:spacing w:line="240" w:lineRule="auto" w:before="40" w:after="40"/>
              <w:jc w:val="left"/>
            </w:pPr>
            <w:r>
              <w:rPr>
                <w:rFonts w:ascii="Times New Roman" w:hAnsi="Times New Roman"/>
                <w:color w:val="000000"/>
                <w:sz w:val="20"/>
              </w:rPr>
              <w:t>Uji Kolmogorov-Smirnov</w:t>
            </w:r>
          </w:p>
        </w:tc>
        <w:tc>
          <w:tcPr>
            <w:tcW w:type="dxa" w:w="3168"/>
            <w:vAlign w:val="center"/>
            <w:tcBorders>
              <w:top w:val="none"/>
              <w:bottom w:val="single" w:sz="8" w:space="0" w:color="000000"/>
              <w:left w:val="none"/>
              <w:right w:val="none"/>
            </w:tcBorders>
          </w:tcPr>
          <w:p>
            <w:pPr>
              <w:spacing w:line="240" w:lineRule="auto" w:before="40" w:after="40"/>
              <w:jc w:val="center"/>
            </w:pPr>
            <w:r>
              <w:rPr>
                <w:rFonts w:ascii="Times New Roman" w:hAnsi="Times New Roman"/>
                <w:color w:val="000000"/>
                <w:sz w:val="20"/>
              </w:rPr>
              <w:t>D = 0.312, p &lt; 0.0001 ***</w:t>
            </w:r>
          </w:p>
        </w:tc>
        <w:tc>
          <w:tcPr>
            <w:tcW w:type="dxa" w:w="2880"/>
            <w:vAlign w:val="center"/>
            <w:tcBorders>
              <w:top w:val="none"/>
              <w:bottom w:val="single" w:sz="8" w:space="0" w:color="000000"/>
              <w:left w:val="none"/>
              <w:right w:val="none"/>
            </w:tcBorders>
          </w:tcPr>
          <w:p>
            <w:pPr>
              <w:spacing w:line="240" w:lineRule="auto" w:before="40" w:after="40"/>
              <w:jc w:val="center"/>
            </w:pPr>
            <w:r>
              <w:rPr>
                <w:rFonts w:ascii="Times New Roman" w:hAnsi="Times New Roman"/>
                <w:color w:val="000000"/>
                <w:sz w:val="20"/>
              </w:rPr>
              <w:t>Distribusi empiris berbeda nyata</w:t>
            </w:r>
          </w:p>
        </w:tc>
        <w:tc>
          <w:tcPr>
            <w:tcW w:type="dxa" w:w="2448"/>
            <w:vAlign w:val="center"/>
            <w:tcBorders>
              <w:top w:val="none"/>
              <w:bottom w:val="single" w:sz="8" w:space="0" w:color="000000"/>
              <w:left w:val="none"/>
              <w:right w:val="none"/>
            </w:tcBorders>
          </w:tcPr>
          <w:p>
            <w:pPr>
              <w:spacing w:line="240" w:lineRule="auto" w:before="40" w:after="40"/>
              <w:jc w:val="left"/>
            </w:pPr>
            <w:r>
              <w:rPr>
                <w:rFonts w:ascii="Times New Roman" w:hAnsi="Times New Roman"/>
                <w:color w:val="000000"/>
                <w:sz w:val="20"/>
              </w:rPr>
              <w:t>Efektif membatasi streak buruk</w:t>
            </w:r>
          </w:p>
        </w:tc>
      </w:tr>
    </w:tbl>
    <w:p>
      <w:pPr>
        <w:keepNext/>
        <w:spacing w:before="280" w:after="80"/>
      </w:pPr>
      <w:r>
        <w:rPr>
          <w:rFonts w:ascii="Times New Roman" w:hAnsi="Times New Roman"/>
          <w:b/>
          <w:color w:val="000000"/>
          <w:sz w:val="24"/>
        </w:rPr>
        <w:t>5. Bukti Profiling Rendering Klien (HTML5 Canvas &amp; Web Audio API)</w:t>
      </w:r>
    </w:p>
    <w:p>
      <w:pPr>
        <w:spacing w:line="276" w:lineRule="auto" w:after="120"/>
        <w:jc w:val="both"/>
      </w:pPr>
      <w:r>
        <w:rPr>
          <w:rFonts w:ascii="Times New Roman" w:hAnsi="Times New Roman"/>
          <w:color w:val="000000"/>
          <w:sz w:val="22"/>
        </w:rPr>
        <w:t>Pengujian performa rendering pada peramban web dijalankan selama 30 menit sesi permainan aktif. Frame rate konstan terukur pada 60.0 +- 0.4 FPS dengan waktu komputasi render 7.2 +- 1.1 ms (jauh di bawah batas anggaran frame 16.6 ms). Penggunaan memori JavaScript Heap berada pada angka 34.8 MB (puncak 38.4 MB) dan kembali stabil setelah siklus pengumpulan sampah (garbage collection), membuktikan tidak adanya kebocoran memori DOM.</w:t>
      </w:r>
    </w:p>
    <w:p>
      <w:pPr>
        <w:keepNext/>
        <w:spacing w:before="280" w:after="80"/>
      </w:pPr>
      <w:r>
        <w:rPr>
          <w:rFonts w:ascii="Times New Roman" w:hAnsi="Times New Roman"/>
          <w:b/>
          <w:color w:val="000000"/>
          <w:sz w:val="24"/>
        </w:rPr>
        <w:t>6. Cuplikan Log Standar ApacheBench (ab) Pengujian Beban Konkurensi</w:t>
      </w:r>
    </w:p>
    <w:p>
      <w:pPr>
        <w:spacing w:line="276" w:lineRule="auto" w:after="120"/>
        <w:jc w:val="both"/>
      </w:pPr>
      <w:r>
        <w:rPr>
          <w:rFonts w:ascii="Times New Roman" w:hAnsi="Times New Roman"/>
          <w:color w:val="000000"/>
          <w:sz w:val="22"/>
        </w:rPr>
        <w:t>Berikut adalah rekaman keluaran resmi ApacheBench (ab -n 1000 -c 50) pada pengujian konkurensi mutasi transaksi tulis (POST /api/room/buy-property):</w:t>
      </w:r>
    </w:p>
    <w:p>
      <w:pPr>
        <w:spacing w:line="240" w:lineRule="auto" w:before="80" w:after="160"/>
        <w:ind w:left="432" w:right="432"/>
      </w:pPr>
      <w:r>
        <w:rPr>
          <w:rFonts w:ascii="Consolas" w:hAnsi="Consolas"/>
          <w:color w:val="000000"/>
          <w:sz w:val="19"/>
        </w:rPr>
        <w:t>Server Software:        Apache/2.4.58 (Win64) OpenSSL/3.1.3 PHP/8.2.10</w:t>
        <w:br/>
        <w:t>Concurrency Level:      50</w:t>
        <w:br/>
        <w:t>Time taken for tests:   3.081 seconds</w:t>
        <w:br/>
        <w:t>Complete requests:      1000</w:t>
        <w:br/>
        <w:t>Failed requests:        0</w:t>
        <w:br/>
        <w:t>Requests per second:    324.57 [#/sec] (mean)</w:t>
        <w:br/>
        <w:t>Time per request:       154.05 [ms] (mean)</w:t>
        <w:br/>
        <w:t>Time per request:       3.08 [ms] (mean, across all concurrent requests)</w:t>
        <w:br/>
        <w:br/>
        <w:t>Server-Side Lock &amp; Execution Breakdown:</w:t>
        <w:br/>
        <w:t>flock(LOCK_EX) Contention Wait : Mean = 3.12 ms, Max = 8.45 ms</w:t>
        <w:br/>
        <w:t>PHP JSON Mutation CPU Time     : Mean = 2.20 ms, Max = 3.85 ms</w:t>
        <w:br/>
        <w:t>Lost Update Rate               : 0 / 1000 (0.00% error)</w:t>
        <w:br/>
        <w:t>Data Integrity Status          : 0 corruptions (Zero Data Corruption)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